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08B0" w14:textId="055CFB6F" w:rsidR="00DC0B75" w:rsidRDefault="00330C4B" w:rsidP="00DC0B75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</w:pPr>
      <w:r w:rsidRPr="00330C4B">
        <w:rPr>
          <w:noProof/>
        </w:rPr>
        <w:drawing>
          <wp:inline distT="0" distB="0" distL="0" distR="0" wp14:anchorId="446DE761" wp14:editId="53B8013E">
            <wp:extent cx="5760720" cy="845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75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Dans la suite du </w:t>
      </w:r>
      <w:r w:rsidR="00DC0B75" w:rsidRPr="00863742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Protocole d’accord 2021-2024 du 23/12/2021 pour les secteurs non-marchand de la Commission communautaire française, de la Commission communautaire commune et de la Région de Bruxelles-Capitale entre les partenaires sociaux d’une part, et le Gouvernement bruxellois, le Collège et le Collège réuni d’autre part</w:t>
      </w:r>
      <w:r w:rsidR="00DC0B75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, une Convention collective de travail</w:t>
      </w:r>
      <w:r w:rsidR="007A4853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DC0B75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concernant l’implémentation de </w:t>
      </w:r>
      <w:r w:rsidR="00DC0B75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BE"/>
        </w:rPr>
        <w:t>la classification de fonctions sectorielle « IFIC »</w:t>
      </w:r>
      <w:r w:rsidR="00DC0B75" w:rsidRPr="009E516D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  <w:r w:rsidR="00DC0B75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>dans les secteurs privés bruxellois de la santé a été conclue le 14 mars 2022 par les partenaires sociaux de la Commission paritaire 330 des établissements et des services de santé.</w:t>
      </w:r>
      <w:r w:rsidR="00C30333">
        <w:rPr>
          <w:rFonts w:cstheme="minorHAnsi"/>
          <w:b/>
          <w:bCs/>
          <w:sz w:val="24"/>
          <w:szCs w:val="24"/>
          <w:shd w:val="clear" w:color="auto" w:fill="FFFFFF"/>
          <w:lang w:val="fr-BE"/>
        </w:rPr>
        <w:t xml:space="preserve"> </w:t>
      </w:r>
    </w:p>
    <w:p w14:paraId="7C746FDB" w14:textId="77777777" w:rsidR="008056B4" w:rsidRDefault="008056B4" w:rsidP="008056B4">
      <w:pPr>
        <w:spacing w:before="36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>LA CLASSIFICATION DE FONCTIONS SECTORIELLE « IFIC » : DE QUOI S’AGIT-IL ?</w:t>
      </w:r>
    </w:p>
    <w:p w14:paraId="19F40DFC" w14:textId="5EE722A2" w:rsidR="008056B4" w:rsidRDefault="008056B4" w:rsidP="008056B4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classification de fonctions sectorielle « IFIC » est la nouvelle classification de fonctions</w:t>
      </w:r>
      <w:r w:rsidR="005C5D2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développée spécifiquement pour les secteurs des soins de santé en Belgique. Chaque fonction sectorielle est décrite, pondérée (c’est-à-dire « pesée ») au moyen de 6 critères identiques pour toutes les fonctions, et rangée dans une catégorie sur base du résultat ainsi obtenu. </w:t>
      </w:r>
      <w:r w:rsidR="00C3033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L’ensemble des fonctions rangées par catégorie </w:t>
      </w:r>
      <w:r w:rsidR="00ED18D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barémique </w:t>
      </w:r>
      <w:r w:rsidR="00C3033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et par </w:t>
      </w:r>
      <w:r w:rsidR="00ED18D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département/</w:t>
      </w:r>
      <w:r w:rsidR="00C3033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famille constitue </w:t>
      </w:r>
      <w:r w:rsidR="00D06FF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« classification de fonctions ».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 cette classification de fonctions est associé un nouveau modèle salarial : le barème d’application pour chaque fonction est déterminé par la catégorie dans laquelle la</w:t>
      </w:r>
      <w:r w:rsidR="0098698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fonction est rangée. </w:t>
      </w:r>
    </w:p>
    <w:p w14:paraId="2A8E3D71" w14:textId="49F3ADE8" w:rsidR="00534E18" w:rsidRDefault="008056B4" w:rsidP="008056B4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Cette nouvelle classification, conçue pour les secteurs fédéraux et régionalisés de la santé, met l’accent</w:t>
      </w:r>
      <w:r w:rsidR="00733BDE"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comme éléments déterminants de la rémunération à laquelle le travailleur a droit, non plus sur les diplômes, mais sur les tâches exercées et le contenu de la fonction</w:t>
      </w:r>
      <w:r w:rsidR="00AA766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="00733BDE" w:rsidDel="00733BD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D06FF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L’ensemble du processus est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géré de manière paritaire par les partenaires sociaux du secteur des soins de santé</w:t>
      </w:r>
      <w:r w:rsidR="00D06FF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constitue un nouveau cadre de rémunération clair et commun pour tous les travailleurs et employeurs de</w:t>
      </w:r>
      <w:r w:rsidR="00D06FF9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votre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secteur.</w:t>
      </w:r>
      <w:r w:rsidR="003518E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10DBDF1E" w14:textId="59B98753" w:rsidR="00507302" w:rsidRDefault="00507302" w:rsidP="008056B4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nouvelle classification de fonctions dans les secteurs bruxellois de la santé de la CP 330 concerne </w:t>
      </w:r>
      <w:r w:rsidR="00B212F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plus précisément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: </w:t>
      </w:r>
    </w:p>
    <w:p w14:paraId="29C0319E" w14:textId="0C529D33" w:rsidR="00507302" w:rsidRPr="009E516D" w:rsidRDefault="00507302" w:rsidP="005C5D2D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9E516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maisons de repos pour personnes âgées, les maisons de repos et de soins, les résidences-services, les centres de soins de jour, les centres d’accueil de jour, les centres de court séjour pour personnes âgées ;</w:t>
      </w:r>
    </w:p>
    <w:p w14:paraId="58656892" w14:textId="3FE3FDB8" w:rsidR="00507302" w:rsidRPr="009E516D" w:rsidRDefault="00507302" w:rsidP="005C5D2D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9E516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maisons de soins psychiatriques ;</w:t>
      </w:r>
    </w:p>
    <w:p w14:paraId="288942F4" w14:textId="1E8F87A8" w:rsidR="00507302" w:rsidRPr="009E516D" w:rsidRDefault="00507302" w:rsidP="005C5D2D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9E516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initiatives d’habitation protégée</w:t>
      </w:r>
      <w:r w:rsidR="0082383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 ;</w:t>
      </w:r>
    </w:p>
    <w:p w14:paraId="02E3E7A7" w14:textId="534A89D6" w:rsidR="00192641" w:rsidRPr="009E516D" w:rsidRDefault="00507302" w:rsidP="005C5D2D">
      <w:pPr>
        <w:pStyle w:val="Paragraphedeliste"/>
        <w:numPr>
          <w:ilvl w:val="0"/>
          <w:numId w:val="22"/>
        </w:num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9E516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Les centres de rééducation fonctionnelle, y compris les équipes d’accompagnement multidisciplinaire de soins palliatifs.</w:t>
      </w:r>
    </w:p>
    <w:p w14:paraId="60B0A0C0" w14:textId="52A89994" w:rsidR="00AA7666" w:rsidRDefault="00AA7666" w:rsidP="009E516D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9E516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L’introduction de ce nouveau modèle de classification de fonction</w:t>
      </w:r>
      <w:r w:rsidR="0082383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 w:rsidRPr="009E516D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 de rémunération n’est d’application qu’à concurrence de l’enveloppe budgétaire mise à disposition des institutions par les autorités compétentes. </w:t>
      </w:r>
    </w:p>
    <w:p w14:paraId="2918A526" w14:textId="77777777" w:rsidR="006F770F" w:rsidRPr="009E516D" w:rsidRDefault="006F770F" w:rsidP="009E516D">
      <w:pPr>
        <w:spacing w:before="24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</w:p>
    <w:p w14:paraId="763AB937" w14:textId="77777777" w:rsidR="009C3C1C" w:rsidRDefault="009C3C1C" w:rsidP="009C3C1C">
      <w:pPr>
        <w:spacing w:before="360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lastRenderedPageBreak/>
        <w:t xml:space="preserve">EN BREF, QUE VA-T-IL SE PASSER ? A QUOI DEVEZ-VOUS VOUS ATTENDRE ? </w:t>
      </w:r>
    </w:p>
    <w:p w14:paraId="45E077D4" w14:textId="4087CA4E" w:rsidR="009C3C1C" w:rsidRDefault="009C3C1C" w:rsidP="009C3C1C">
      <w:pPr>
        <w:pStyle w:val="NormalWeb"/>
        <w:spacing w:before="0" w:beforeAutospacing="0" w:after="158" w:afterAutospacing="0"/>
        <w:jc w:val="both"/>
        <w:rPr>
          <w:rFonts w:asciiTheme="minorHAnsi" w:hAnsiTheme="minorHAnsi" w:cstheme="minorHAnsi"/>
          <w:color w:val="3B3838" w:themeColor="background2" w:themeShade="40"/>
          <w:lang w:val="fr-BE"/>
        </w:rPr>
      </w:pPr>
      <w:r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Différentes procédures vont être mises en œuvre durant les prochains mois afin d’assurer l’implémentation de la classification sectorielle « IFIC » dans votre institution. Concrètement, </w:t>
      </w:r>
      <w:r w:rsidR="009D5911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la mise en </w:t>
      </w:r>
      <w:r w:rsidR="00B212F2">
        <w:rPr>
          <w:rFonts w:asciiTheme="minorHAnsi" w:hAnsiTheme="minorHAnsi" w:cstheme="minorHAnsi"/>
          <w:color w:val="3B3838" w:themeColor="background2" w:themeShade="40"/>
          <w:lang w:val="fr-BE"/>
        </w:rPr>
        <w:t>œuvre</w:t>
      </w:r>
      <w:r w:rsidR="009D5911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 </w:t>
      </w:r>
      <w:r>
        <w:rPr>
          <w:rFonts w:asciiTheme="minorHAnsi" w:hAnsiTheme="minorHAnsi" w:cstheme="minorHAnsi"/>
          <w:color w:val="3B3838" w:themeColor="background2" w:themeShade="40"/>
          <w:lang w:val="fr-BE"/>
        </w:rPr>
        <w:t>de la nouvelle classification de fonctions s’articule</w:t>
      </w:r>
      <w:r w:rsidR="00733BDE">
        <w:rPr>
          <w:rFonts w:asciiTheme="minorHAnsi" w:hAnsiTheme="minorHAnsi" w:cstheme="minorHAnsi"/>
          <w:color w:val="3B3838" w:themeColor="background2" w:themeShade="40"/>
          <w:lang w:val="fr-BE"/>
        </w:rPr>
        <w:t>ra</w:t>
      </w:r>
      <w:r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 en </w:t>
      </w:r>
      <w:r w:rsidR="00912470">
        <w:rPr>
          <w:rFonts w:asciiTheme="minorHAnsi" w:hAnsiTheme="minorHAnsi" w:cstheme="minorHAnsi"/>
          <w:color w:val="3B3838" w:themeColor="background2" w:themeShade="40"/>
          <w:lang w:val="fr-BE"/>
        </w:rPr>
        <w:t xml:space="preserve">deux </w:t>
      </w:r>
      <w:r w:rsidR="00733BDE">
        <w:rPr>
          <w:rFonts w:asciiTheme="minorHAnsi" w:hAnsiTheme="minorHAnsi" w:cstheme="minorHAnsi"/>
          <w:color w:val="3B3838" w:themeColor="background2" w:themeShade="40"/>
          <w:lang w:val="fr-BE"/>
        </w:rPr>
        <w:t>phases</w:t>
      </w:r>
      <w:r>
        <w:rPr>
          <w:rFonts w:asciiTheme="minorHAnsi" w:hAnsiTheme="minorHAnsi" w:cstheme="minorHAnsi"/>
          <w:color w:val="3B3838" w:themeColor="background2" w:themeShade="40"/>
          <w:lang w:val="fr-BE"/>
        </w:rPr>
        <w:t> :</w:t>
      </w:r>
    </w:p>
    <w:p w14:paraId="099561A7" w14:textId="55E09422" w:rsidR="00330C4B" w:rsidRPr="00A575F9" w:rsidRDefault="00733BDE" w:rsidP="007F6FE2">
      <w:pPr>
        <w:pStyle w:val="Style2"/>
        <w:rPr>
          <w:b/>
          <w:u w:val="single"/>
        </w:rPr>
      </w:pPr>
      <w:r w:rsidRPr="00E2097F">
        <w:rPr>
          <w:b/>
          <w:u w:val="single"/>
        </w:rPr>
        <w:t>PHASE 1 - Phase de préparation des attributions de fonctions (</w:t>
      </w:r>
      <w:r w:rsidR="007E16FA">
        <w:rPr>
          <w:b/>
          <w:u w:val="single"/>
        </w:rPr>
        <w:t>jusqu’à l’automne 2022</w:t>
      </w:r>
      <w:r w:rsidRPr="00E2097F">
        <w:rPr>
          <w:b/>
          <w:u w:val="single"/>
        </w:rPr>
        <w:t>)</w:t>
      </w:r>
      <w:r w:rsidRPr="00FC00CC">
        <w:t xml:space="preserve"> : </w:t>
      </w:r>
      <w:r w:rsidR="00330C4B">
        <w:t xml:space="preserve">durant cette phase, votre </w:t>
      </w:r>
      <w:r w:rsidR="00330C4B" w:rsidRPr="00FC00CC">
        <w:t xml:space="preserve">employeur </w:t>
      </w:r>
      <w:r w:rsidR="008870E6">
        <w:t>attribue</w:t>
      </w:r>
      <w:r w:rsidR="00330C4B" w:rsidRPr="00FC00CC">
        <w:t xml:space="preserve"> </w:t>
      </w:r>
      <w:r w:rsidR="00330C4B">
        <w:t xml:space="preserve">de manière préparatoire </w:t>
      </w:r>
      <w:r w:rsidR="00330C4B" w:rsidRPr="00FC00CC">
        <w:t>une</w:t>
      </w:r>
      <w:r w:rsidR="00330C4B">
        <w:t xml:space="preserve"> ou plusieurs</w:t>
      </w:r>
      <w:r w:rsidR="00330C4B" w:rsidRPr="00FC00CC">
        <w:t xml:space="preserve"> fonction</w:t>
      </w:r>
      <w:r w:rsidR="00330C4B">
        <w:t>s</w:t>
      </w:r>
      <w:r w:rsidR="00330C4B" w:rsidRPr="00FC00CC">
        <w:t xml:space="preserve"> sectorielle</w:t>
      </w:r>
      <w:r w:rsidR="00330C4B">
        <w:t>s</w:t>
      </w:r>
      <w:r w:rsidR="00330C4B" w:rsidRPr="00FC00CC">
        <w:t xml:space="preserve"> </w:t>
      </w:r>
      <w:r w:rsidR="00330C4B">
        <w:t xml:space="preserve">IFIC </w:t>
      </w:r>
      <w:r w:rsidR="00330C4B" w:rsidRPr="00FC00CC">
        <w:t>à chaque travailleur</w:t>
      </w:r>
      <w:r w:rsidR="00330C4B">
        <w:t>.</w:t>
      </w:r>
      <w:r w:rsidR="00330C4B" w:rsidRPr="00FC00CC">
        <w:t xml:space="preserve"> </w:t>
      </w:r>
      <w:r w:rsidR="00330C4B">
        <w:t xml:space="preserve">Ces attributions </w:t>
      </w:r>
      <w:r w:rsidR="00E2097F">
        <w:t xml:space="preserve">pourront </w:t>
      </w:r>
      <w:r w:rsidR="00330C4B">
        <w:t xml:space="preserve">ensuite </w:t>
      </w:r>
      <w:r w:rsidR="00E2097F">
        <w:t xml:space="preserve">être </w:t>
      </w:r>
      <w:r w:rsidR="00330C4B">
        <w:t>présentées pour avis</w:t>
      </w:r>
      <w:r w:rsidR="00E2097F">
        <w:t xml:space="preserve"> non-contraignants</w:t>
      </w:r>
      <w:r w:rsidR="00330C4B">
        <w:t xml:space="preserve"> à la commission d’accompagnement</w:t>
      </w:r>
      <w:r w:rsidR="00E2097F">
        <w:t xml:space="preserve"> sectorielle</w:t>
      </w:r>
      <w:r w:rsidR="00330C4B">
        <w:t xml:space="preserve"> (voir détail ci-dessous). Votre employeur peut décider d’adapter ou non les attributions </w:t>
      </w:r>
      <w:proofErr w:type="gramStart"/>
      <w:r w:rsidR="00330C4B">
        <w:t>suite aux</w:t>
      </w:r>
      <w:proofErr w:type="gramEnd"/>
      <w:r w:rsidR="00330C4B">
        <w:t xml:space="preserve"> avis rendu</w:t>
      </w:r>
      <w:r w:rsidR="00507302">
        <w:t>s</w:t>
      </w:r>
      <w:r w:rsidR="00330C4B">
        <w:t xml:space="preserve"> par la commission d’accompagnement. </w:t>
      </w:r>
    </w:p>
    <w:p w14:paraId="656EBD46" w14:textId="77777777" w:rsidR="00956EDF" w:rsidRDefault="00330C4B" w:rsidP="007F6FE2">
      <w:pPr>
        <w:pStyle w:val="Style2"/>
      </w:pPr>
      <w:r>
        <w:t>A</w:t>
      </w:r>
      <w:r w:rsidRPr="00FC00CC">
        <w:t>ttention : votre attribution de fonction ne vous sera pas communiquée durant cette 1ère phase</w:t>
      </w:r>
      <w:r>
        <w:t>.</w:t>
      </w:r>
    </w:p>
    <w:p w14:paraId="7F1F8BE1" w14:textId="3613A183" w:rsidR="00B22E31" w:rsidRDefault="00733BDE" w:rsidP="007F6FE2">
      <w:pPr>
        <w:pStyle w:val="Style2"/>
      </w:pPr>
      <w:r w:rsidRPr="00FC00CC">
        <w:rPr>
          <w:b/>
          <w:u w:val="single"/>
        </w:rPr>
        <w:t>PHASE </w:t>
      </w:r>
      <w:r w:rsidR="005F46AE">
        <w:rPr>
          <w:b/>
          <w:u w:val="single"/>
        </w:rPr>
        <w:t>2</w:t>
      </w:r>
      <w:r w:rsidR="00912470">
        <w:rPr>
          <w:b/>
          <w:u w:val="single"/>
        </w:rPr>
        <w:t xml:space="preserve"> </w:t>
      </w:r>
      <w:r w:rsidRPr="00FC00CC">
        <w:rPr>
          <w:b/>
          <w:u w:val="single"/>
        </w:rPr>
        <w:t xml:space="preserve">- Communication des attributions aux </w:t>
      </w:r>
      <w:r w:rsidR="004317EE" w:rsidRPr="00FC00CC">
        <w:rPr>
          <w:b/>
          <w:u w:val="single"/>
        </w:rPr>
        <w:t>travailleurs</w:t>
      </w:r>
      <w:r w:rsidR="00912470">
        <w:rPr>
          <w:b/>
          <w:u w:val="single"/>
        </w:rPr>
        <w:t xml:space="preserve"> </w:t>
      </w:r>
      <w:r w:rsidR="005F46AE">
        <w:rPr>
          <w:b/>
          <w:u w:val="single"/>
        </w:rPr>
        <w:t>(date</w:t>
      </w:r>
      <w:r w:rsidR="009D5911">
        <w:rPr>
          <w:b/>
          <w:u w:val="single"/>
        </w:rPr>
        <w:t xml:space="preserve"> appelée « date</w:t>
      </w:r>
      <w:r w:rsidR="005F46AE">
        <w:rPr>
          <w:b/>
          <w:u w:val="single"/>
        </w:rPr>
        <w:t xml:space="preserve"> E</w:t>
      </w:r>
      <w:r w:rsidR="009D5911">
        <w:rPr>
          <w:b/>
          <w:u w:val="single"/>
        </w:rPr>
        <w:t> »</w:t>
      </w:r>
      <w:r w:rsidR="005F46AE">
        <w:rPr>
          <w:b/>
          <w:u w:val="single"/>
        </w:rPr>
        <w:t>, entre le 17/10/2022 et le 16/01/2023)</w:t>
      </w:r>
      <w:r w:rsidR="00912470">
        <w:rPr>
          <w:b/>
          <w:u w:val="single"/>
        </w:rPr>
        <w:t xml:space="preserve"> </w:t>
      </w:r>
      <w:r w:rsidRPr="00FC00CC">
        <w:rPr>
          <w:b/>
          <w:u w:val="single"/>
        </w:rPr>
        <w:t xml:space="preserve">: </w:t>
      </w:r>
      <w:r w:rsidR="00330C4B" w:rsidRPr="00A575F9">
        <w:t>à la date E</w:t>
      </w:r>
      <w:r w:rsidR="00330C4B">
        <w:t xml:space="preserve"> (fixée librement dans chaque institution entre le 17/10/2022 et le 16/01/2023), votre </w:t>
      </w:r>
      <w:r w:rsidR="00330C4B" w:rsidRPr="00FC00CC">
        <w:t xml:space="preserve">employeur </w:t>
      </w:r>
      <w:r w:rsidR="00330C4B">
        <w:t xml:space="preserve">vous </w:t>
      </w:r>
      <w:r w:rsidR="00330C4B" w:rsidRPr="00FC00CC">
        <w:t xml:space="preserve">communiquera </w:t>
      </w:r>
      <w:r w:rsidR="00330C4B">
        <w:t xml:space="preserve">votre </w:t>
      </w:r>
      <w:r w:rsidR="00330C4B" w:rsidRPr="00FC00CC">
        <w:t xml:space="preserve">attribution de fonction sectorielle </w:t>
      </w:r>
      <w:r w:rsidR="00330C4B">
        <w:t>IFIC</w:t>
      </w:r>
      <w:r w:rsidR="009D5911">
        <w:t xml:space="preserve">, la </w:t>
      </w:r>
      <w:r w:rsidR="009F2830">
        <w:t>description</w:t>
      </w:r>
      <w:r w:rsidR="009D5911">
        <w:t xml:space="preserve"> de cette fonction, </w:t>
      </w:r>
      <w:r w:rsidR="00330C4B" w:rsidRPr="00FC00CC">
        <w:t>ainsi que les informations quant au nouveau barème</w:t>
      </w:r>
      <w:r w:rsidR="00330C4B">
        <w:t xml:space="preserve"> IFIC</w:t>
      </w:r>
      <w:r w:rsidR="00330C4B" w:rsidRPr="00FC00CC">
        <w:t xml:space="preserve"> auquel cette attribution de fonction </w:t>
      </w:r>
      <w:r w:rsidR="00330C4B">
        <w:t>vous</w:t>
      </w:r>
      <w:r w:rsidR="00330C4B" w:rsidRPr="00FC00CC">
        <w:t xml:space="preserve"> donne droit. </w:t>
      </w:r>
      <w:r w:rsidR="00330C4B">
        <w:t xml:space="preserve">Vous aurez alors </w:t>
      </w:r>
      <w:r w:rsidR="00330C4B" w:rsidRPr="00FC00CC">
        <w:t>la possibilité d’introduire un recours</w:t>
      </w:r>
      <w:r w:rsidR="00330C4B">
        <w:t xml:space="preserve">, dans le cas où </w:t>
      </w:r>
      <w:r w:rsidR="00330C4B" w:rsidRPr="00FC00CC">
        <w:t xml:space="preserve">la fonction sectorielle qui </w:t>
      </w:r>
      <w:r w:rsidR="00330C4B">
        <w:t>vous aurait été</w:t>
      </w:r>
      <w:r w:rsidR="00330C4B" w:rsidRPr="00FC00CC">
        <w:t xml:space="preserve"> </w:t>
      </w:r>
      <w:r w:rsidR="00CD67FC">
        <w:t>attribuée</w:t>
      </w:r>
      <w:r w:rsidR="009D5911" w:rsidRPr="00FC00CC">
        <w:t xml:space="preserve"> </w:t>
      </w:r>
      <w:r w:rsidR="00330C4B" w:rsidRPr="00FC00CC">
        <w:t>ne correspond</w:t>
      </w:r>
      <w:r w:rsidR="00330C4B">
        <w:t>rait</w:t>
      </w:r>
      <w:r w:rsidR="00330C4B" w:rsidRPr="00FC00CC">
        <w:t xml:space="preserve"> pas dans une large mesure</w:t>
      </w:r>
      <w:r w:rsidR="00341AE7">
        <w:t xml:space="preserve"> (c-à-d. à 80 % minimum des tâches effectivement exercées) </w:t>
      </w:r>
      <w:r w:rsidR="00330C4B" w:rsidRPr="00FC00CC">
        <w:t>à l</w:t>
      </w:r>
      <w:r w:rsidR="00330C4B">
        <w:t>a</w:t>
      </w:r>
      <w:r w:rsidR="00330C4B" w:rsidRPr="00FC00CC">
        <w:t xml:space="preserve"> fonction </w:t>
      </w:r>
      <w:r w:rsidR="00330C4B">
        <w:t>que vous exercez effectivement</w:t>
      </w:r>
      <w:r w:rsidR="00330C4B" w:rsidRPr="00FC00CC">
        <w:t>.</w:t>
      </w:r>
      <w:r w:rsidR="00330C4B">
        <w:t xml:space="preserve"> </w:t>
      </w:r>
    </w:p>
    <w:p w14:paraId="185E3AFE" w14:textId="5C23FBD4" w:rsidR="00B51E86" w:rsidRPr="00FC00CC" w:rsidRDefault="00B22E31" w:rsidP="007F6FE2">
      <w:pPr>
        <w:pStyle w:val="Style2"/>
        <w:rPr>
          <w:b/>
          <w:u w:val="single"/>
        </w:rPr>
      </w:pPr>
      <w:r>
        <w:rPr>
          <w:b/>
          <w:u w:val="single"/>
        </w:rPr>
        <w:t xml:space="preserve">Une fois la fonction </w:t>
      </w:r>
      <w:r w:rsidR="00E04656">
        <w:rPr>
          <w:b/>
          <w:u w:val="single"/>
        </w:rPr>
        <w:t>attribuée</w:t>
      </w:r>
      <w:r>
        <w:rPr>
          <w:b/>
          <w:u w:val="single"/>
        </w:rPr>
        <w:t xml:space="preserve">, </w:t>
      </w:r>
      <w:r>
        <w:t>v</w:t>
      </w:r>
      <w:r w:rsidR="00330C4B">
        <w:t xml:space="preserve">ous aurez également la possibilité d’opter ou non pour le barème IFIC auquel vous </w:t>
      </w:r>
      <w:r w:rsidR="00DE5607">
        <w:t xml:space="preserve">aurez </w:t>
      </w:r>
      <w:r w:rsidR="00330C4B">
        <w:t xml:space="preserve">droit. Une simulation salariale </w:t>
      </w:r>
      <w:r w:rsidR="009F2830">
        <w:t>individualisée</w:t>
      </w:r>
      <w:r w:rsidR="00330C4B">
        <w:t xml:space="preserve"> vous sera remise à ce moment, pour que vous puissiez faire votre choix en connaissance de cause.</w:t>
      </w:r>
    </w:p>
    <w:p w14:paraId="39D42945" w14:textId="7B3366BB" w:rsidR="005F58C3" w:rsidRPr="00FC00CC" w:rsidRDefault="005B628E" w:rsidP="005B628E">
      <w:pPr>
        <w:spacing w:before="360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CONCRETEMENT, COMMENT VA SE DEROULER </w:t>
      </w:r>
      <w:r w:rsidR="00DC35E5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L’INTRODUCTION </w:t>
      </w:r>
      <w:r w:rsidR="000C7457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DE LA </w:t>
      </w:r>
      <w:r w:rsidR="00DC35E5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 NOUVELLE CLASSIFICATION SECTORIELLE DE FONCTIONS</w:t>
      </w:r>
      <w:r w:rsidR="00E04656"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? </w:t>
      </w:r>
    </w:p>
    <w:p w14:paraId="1C11652C" w14:textId="2DC8AA8E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Afin d’encadrer l'introduction de la classification de fonctions sur le terrain, les </w:t>
      </w:r>
      <w:r w:rsidR="00CD67F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partenaires </w:t>
      </w:r>
      <w:r w:rsidR="00B22E3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sociaux de votre secteur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ont </w:t>
      </w:r>
      <w:r w:rsidR="00B212F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prévu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des procédures. Les accords conclus concernant ces procédures sont décrits dans </w:t>
      </w:r>
      <w:r w:rsidR="0082657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la convention collective de travail du</w:t>
      </w:r>
      <w:r w:rsidR="00B22E3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C7458C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14 mars 2022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 Nous vous en proposons un aperçu synthétique ci-dessous :</w:t>
      </w:r>
    </w:p>
    <w:p w14:paraId="62631795" w14:textId="74AA15F3" w:rsidR="004317EE" w:rsidRPr="0083249C" w:rsidRDefault="004317EE" w:rsidP="007F6FE2">
      <w:pPr>
        <w:pStyle w:val="Style2"/>
      </w:pPr>
      <w:r w:rsidRPr="0083249C">
        <w:t>PHASE 1</w:t>
      </w:r>
      <w:r w:rsidR="00912470">
        <w:t xml:space="preserve"> </w:t>
      </w:r>
      <w:r w:rsidRPr="0083249C">
        <w:t>:  PREPARATION DES ATTRIBUTIONS (</w:t>
      </w:r>
      <w:r w:rsidR="00330C4B">
        <w:t>jusqu’à l’automne</w:t>
      </w:r>
      <w:r w:rsidR="0076402C">
        <w:t xml:space="preserve"> </w:t>
      </w:r>
      <w:r w:rsidRPr="0083249C">
        <w:t>2022)</w:t>
      </w:r>
    </w:p>
    <w:p w14:paraId="0E8C9DBA" w14:textId="69A92C22" w:rsidR="004317EE" w:rsidRPr="00890928" w:rsidRDefault="001B566F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1321C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</w:t>
      </w:r>
      <w:r w:rsidRPr="001321C5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commission d’accompagnement</w:t>
      </w:r>
      <w:r w:rsidRPr="001321C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1321C5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sectorielle</w:t>
      </w:r>
      <w:r w:rsidRPr="001321C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mise en place au niveau sectoriel. Cette commission se compose d’experts des organisations syndicales et patronales désignés par la </w:t>
      </w:r>
      <w:r w:rsidR="00A00C9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</w:t>
      </w:r>
      <w:r w:rsidRPr="001321C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ommission paritaire 330. </w:t>
      </w:r>
      <w:r w:rsidR="004317EE" w:rsidRPr="001321C5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Tous ont suivi une formation IFIC.</w:t>
      </w:r>
    </w:p>
    <w:p w14:paraId="132EFCBB" w14:textId="324FEF22" w:rsidR="005F58C3" w:rsidRPr="00E2097F" w:rsidRDefault="004317EE" w:rsidP="00A00C90">
      <w:pPr>
        <w:jc w:val="both"/>
        <w:rPr>
          <w:lang w:val="fr-BE"/>
        </w:rPr>
      </w:pP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L'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prépare les attributions de fonctions sectorielles en collaboration avec le responsable-processus, dans le respect des règles-clés d’attribution des fonctions. Ces attributions </w:t>
      </w:r>
      <w:r w:rsidR="0023318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pourront être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discutées au sein de la commission d’accompagnement </w:t>
      </w:r>
      <w:r w:rsidR="003864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sectorielle 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qui formulera un avis non-contraignant</w:t>
      </w:r>
      <w:r w:rsidR="00E546C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à leur sujet</w:t>
      </w:r>
      <w:r w:rsidR="0023318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le cas échéant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 L’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employeur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284CE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peut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adapter les attributions de fonctions sur base de ces avis.</w:t>
      </w:r>
    </w:p>
    <w:p w14:paraId="0FC002E7" w14:textId="6D5955E3" w:rsidR="005F58C3" w:rsidRPr="00890928" w:rsidRDefault="004317EE" w:rsidP="007F6FE2">
      <w:pPr>
        <w:pStyle w:val="Style2"/>
      </w:pPr>
      <w:r w:rsidRPr="0083249C">
        <w:t xml:space="preserve">PHASE </w:t>
      </w:r>
      <w:r w:rsidR="005D2351">
        <w:t>2</w:t>
      </w:r>
      <w:r w:rsidRPr="0083249C">
        <w:t> : COMMUNICATION DES ATTRIBUTIONS INDIVIDUELLES (</w:t>
      </w:r>
      <w:r w:rsidR="005D2351">
        <w:t>Date E</w:t>
      </w:r>
      <w:r w:rsidRPr="0083249C">
        <w:t>)</w:t>
      </w:r>
    </w:p>
    <w:p w14:paraId="1334F262" w14:textId="77777777" w:rsidR="004317EE" w:rsidRPr="00890928" w:rsidRDefault="004317EE" w:rsidP="004317EE">
      <w:pPr>
        <w:pStyle w:val="Paragraphedeliste"/>
        <w:numPr>
          <w:ilvl w:val="0"/>
          <w:numId w:val="14"/>
        </w:numPr>
        <w:ind w:left="993"/>
        <w:rPr>
          <w:b/>
          <w:bCs/>
          <w:smallCaps/>
          <w:color w:val="595959" w:themeColor="text1" w:themeTint="A6"/>
          <w:sz w:val="28"/>
          <w:szCs w:val="28"/>
        </w:rPr>
      </w:pPr>
      <w:r w:rsidRPr="00890928">
        <w:rPr>
          <w:b/>
          <w:bCs/>
          <w:smallCaps/>
          <w:color w:val="595959" w:themeColor="text1" w:themeTint="A6"/>
          <w:sz w:val="28"/>
          <w:szCs w:val="28"/>
        </w:rPr>
        <w:t xml:space="preserve">Étape 1 : la communication de votre fonction </w:t>
      </w:r>
    </w:p>
    <w:p w14:paraId="714347AE" w14:textId="1104F052" w:rsidR="004317EE" w:rsidRDefault="005D2351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b/>
          <w:u w:val="single"/>
          <w:lang w:val="fr-BE"/>
        </w:rPr>
        <w:t>E</w:t>
      </w:r>
      <w:r w:rsidRPr="00A00C90">
        <w:rPr>
          <w:b/>
          <w:u w:val="single"/>
          <w:lang w:val="fr-BE"/>
        </w:rPr>
        <w:t>ntre le 17/10/2022 et le 16/01/2023</w:t>
      </w:r>
      <w:r w:rsidR="004317EE"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 (date à fixer dans cet intervalle par </w:t>
      </w:r>
      <w:r w:rsidR="00B47C01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 xml:space="preserve">l’employeur dans </w:t>
      </w:r>
      <w:r w:rsidR="004317EE" w:rsidRPr="00890928"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votre institution), vous serez informé individuellement de votre attribution de fonction</w:t>
      </w:r>
      <w:r w:rsidR="004317EE"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</w:t>
      </w:r>
    </w:p>
    <w:p w14:paraId="6B788D61" w14:textId="191C1D61" w:rsidR="009F2830" w:rsidRDefault="00874222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T</w:t>
      </w:r>
      <w:r w:rsidR="009F283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rois possibilités :</w:t>
      </w:r>
    </w:p>
    <w:p w14:paraId="2DA6A6D9" w14:textId="489C936F" w:rsidR="009F2830" w:rsidRDefault="009F2830" w:rsidP="009F2830">
      <w:pPr>
        <w:pStyle w:val="Paragraphedeliste"/>
        <w:numPr>
          <w:ilvl w:val="0"/>
          <w:numId w:val="20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L’employeur vous a attribué une fonction </w:t>
      </w:r>
      <w:r w:rsidR="008C1B6C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sectorielle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unique et existante au sein de la classification IFIC</w:t>
      </w:r>
      <w:r w:rsidR="00042ACC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 ;</w:t>
      </w:r>
    </w:p>
    <w:p w14:paraId="40E9A1FF" w14:textId="2A27EBC5" w:rsidR="009F2830" w:rsidRDefault="009F2830" w:rsidP="009F2830">
      <w:pPr>
        <w:pStyle w:val="Paragraphedeliste"/>
        <w:numPr>
          <w:ilvl w:val="0"/>
          <w:numId w:val="20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L’employeur vous a attribué</w:t>
      </w:r>
      <w:r w:rsidR="004317EE" w:rsidRPr="009E516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plusieurs fonctions </w:t>
      </w:r>
      <w:r w:rsidR="008C1B6C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sectorielle</w:t>
      </w:r>
      <w:r w:rsidR="0098185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s</w:t>
      </w:r>
      <w:r w:rsidR="008C1B6C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</w:t>
      </w:r>
      <w:r w:rsidR="004317EE" w:rsidRPr="009E516D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(</w:t>
      </w:r>
      <w:r w:rsidR="00F0478A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m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aximum 3</w:t>
      </w:r>
      <w:r w:rsidR="004317EE" w:rsidRPr="0087422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)</w:t>
      </w:r>
      <w:r w:rsidR="00B212F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.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Vous avez alors une fonction qu’on  nomme </w:t>
      </w:r>
      <w:r w:rsidR="0098185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« fonction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hybride</w:t>
      </w:r>
      <w:r w:rsidR="0098185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 »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.</w:t>
      </w:r>
    </w:p>
    <w:p w14:paraId="1B65A378" w14:textId="5F863901" w:rsidR="005372C0" w:rsidRDefault="004317EE" w:rsidP="007F6FE2">
      <w:pPr>
        <w:pStyle w:val="Paragraphedeliste"/>
        <w:numPr>
          <w:ilvl w:val="0"/>
          <w:numId w:val="20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7F6FE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Dans certains cas exceptionnels, l’</w:t>
      </w:r>
      <w:r w:rsidR="00497350" w:rsidRPr="007F6FE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employeur</w:t>
      </w:r>
      <w:r w:rsidRPr="007F6FE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peut constater qu'aucune fonction sectorielle IFIC ne peut vous être attribuée car aucune ne correspond « dans une large mesure » à la fonction que vous exercez</w:t>
      </w:r>
      <w:r w:rsidR="009F2830" w:rsidRPr="007F6FE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 </w:t>
      </w:r>
      <w:r w:rsidR="00874222" w:rsidRPr="007F6FE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effectivement</w:t>
      </w:r>
      <w:r w:rsidRPr="007F6FE2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. Une fonction dite « manquante » vous sera alors attribuée, ainsi qu’une catégorie qui permettra de déterminer votre catégorie barémique IFIC.</w:t>
      </w:r>
    </w:p>
    <w:p w14:paraId="3B45B3B4" w14:textId="77777777" w:rsidR="007F6FE2" w:rsidRPr="007F6FE2" w:rsidRDefault="007F6FE2" w:rsidP="007F6FE2">
      <w:pPr>
        <w:ind w:left="360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</w:p>
    <w:p w14:paraId="55B20D99" w14:textId="77777777" w:rsidR="004317EE" w:rsidRPr="007F6FE2" w:rsidRDefault="004317EE" w:rsidP="007F6FE2">
      <w:pPr>
        <w:pStyle w:val="Paragraphedeliste"/>
        <w:numPr>
          <w:ilvl w:val="0"/>
          <w:numId w:val="14"/>
        </w:numPr>
        <w:ind w:left="993"/>
        <w:rPr>
          <w:b/>
          <w:bCs/>
          <w:smallCaps/>
          <w:color w:val="595959" w:themeColor="text1" w:themeTint="A6"/>
          <w:sz w:val="28"/>
          <w:szCs w:val="28"/>
        </w:rPr>
      </w:pPr>
      <w:r w:rsidRPr="007F6FE2">
        <w:rPr>
          <w:b/>
          <w:bCs/>
          <w:smallCaps/>
          <w:color w:val="595959" w:themeColor="text1" w:themeTint="A6"/>
          <w:sz w:val="28"/>
          <w:szCs w:val="28"/>
        </w:rPr>
        <w:t>Étape 2 : possibilité d’introduire un recours</w:t>
      </w:r>
    </w:p>
    <w:p w14:paraId="541A0445" w14:textId="0784FEF7" w:rsidR="00330C4B" w:rsidRDefault="00330C4B" w:rsidP="00330C4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Il se peut que, pour des raisons objectives, vous ne soyez pas d'accord avec le résultat de cette (ces) attribution(s) de fonction. </w:t>
      </w:r>
      <w:r w:rsidR="0053141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ous pouvez</w:t>
      </w:r>
      <w:r w:rsidR="0053141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alors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introduire un recours pour contester la fonction sectorielle qui vous a été attribuée, et proposer une attribution alternative. C’est ce que l’on appelle 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 recours interne (niveau local). A cette fin, une commission de recours </w:t>
      </w:r>
      <w:r w:rsidR="009728B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de première instance 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sera mise en place </w:t>
      </w:r>
      <w:r w:rsidR="009728B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au niveau sectoriel</w:t>
      </w: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 La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commission de recours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9728B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sectorielle</w:t>
      </w:r>
      <w:r w:rsidRPr="0089092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composée </w:t>
      </w:r>
      <w:r w:rsidR="009728B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d’experts des organisations syndicales et patronales désignés par la commission paritaire 330. Tous les membres ont suivi une formation IFIC.</w:t>
      </w:r>
    </w:p>
    <w:p w14:paraId="05229EFD" w14:textId="4C423152" w:rsidR="00330C4B" w:rsidRDefault="00330C4B" w:rsidP="00330C4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Si vous choisissez d’introduire un recours, il </w:t>
      </w:r>
      <w:r w:rsidR="00B212F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vous appartiendra de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démontrer en quoi votre travail est significativement différent de la fonction sectorielle qui vous a été attribuée. Le recours porte sur la fonction qui vous est attribuée et pas sur le barème IFIC qui y est lié, ces barèmes étant identiques pour l’ensemble des institutions.</w:t>
      </w:r>
    </w:p>
    <w:p w14:paraId="1C3A142C" w14:textId="77777777" w:rsidR="00330C4B" w:rsidRDefault="00330C4B" w:rsidP="00330C4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AE3C8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En cas de contestation de la décision d’attribution à l’issue du recours interne, un recours externe est également possible (niveau sectoriel).</w:t>
      </w:r>
    </w:p>
    <w:p w14:paraId="7B24A1AA" w14:textId="0CE9D881" w:rsidR="00330C4B" w:rsidRDefault="00330C4B" w:rsidP="00330C4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Toutes les informations précises relatives à la procédure de recours interne et externe (modalités d’introduction des dossiers, délais, formulaires, etc.) vous seront communiquées au moment où votre attribution de fonction vous sera remise.</w:t>
      </w:r>
    </w:p>
    <w:p w14:paraId="0223722F" w14:textId="24E013B9" w:rsidR="007F6FE2" w:rsidRDefault="007F6FE2">
      <w:pPr>
        <w:spacing w:line="259" w:lineRule="auto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br w:type="page"/>
      </w:r>
    </w:p>
    <w:p w14:paraId="43615ED9" w14:textId="77777777" w:rsidR="007F6FE2" w:rsidRDefault="007F6FE2" w:rsidP="00330C4B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</w:p>
    <w:p w14:paraId="1BA28F66" w14:textId="413A514A" w:rsidR="004317EE" w:rsidRPr="002C0170" w:rsidRDefault="004317EE" w:rsidP="004317EE">
      <w:pPr>
        <w:pStyle w:val="Paragraphedeliste"/>
        <w:numPr>
          <w:ilvl w:val="0"/>
          <w:numId w:val="14"/>
        </w:numPr>
        <w:ind w:left="993"/>
        <w:rPr>
          <w:b/>
          <w:bCs/>
          <w:smallCaps/>
          <w:color w:val="595959" w:themeColor="text1" w:themeTint="A6"/>
          <w:sz w:val="28"/>
          <w:szCs w:val="28"/>
        </w:rPr>
      </w:pPr>
      <w:r w:rsidRPr="002C0170">
        <w:rPr>
          <w:b/>
          <w:bCs/>
          <w:smallCaps/>
          <w:color w:val="595959" w:themeColor="text1" w:themeTint="A6"/>
          <w:sz w:val="28"/>
          <w:szCs w:val="28"/>
        </w:rPr>
        <w:t>É</w:t>
      </w:r>
      <w:r>
        <w:rPr>
          <w:b/>
          <w:bCs/>
          <w:smallCaps/>
          <w:color w:val="595959" w:themeColor="text1" w:themeTint="A6"/>
          <w:sz w:val="28"/>
          <w:szCs w:val="28"/>
        </w:rPr>
        <w:t>tape 3 : le choix du nouveau barème IFIC</w:t>
      </w:r>
    </w:p>
    <w:p w14:paraId="02CEE85D" w14:textId="7494CD40" w:rsidR="00EB20B3" w:rsidRPr="00C7100C" w:rsidRDefault="00EB20B3" w:rsidP="00C7100C">
      <w:pPr>
        <w:spacing w:before="120" w:after="120"/>
        <w:jc w:val="both"/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</w:pP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Attention</w:t>
      </w:r>
      <w:r w:rsidRPr="00EB20B3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: la convention collective de travail conclue </w:t>
      </w:r>
      <w:r w:rsidR="0078071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le 14</w:t>
      </w:r>
      <w:r w:rsidR="0078071C"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mars 2022 par les partenaires sociaux concerne les </w:t>
      </w: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u w:val="single"/>
          <w:lang w:val="fr-BE" w:eastAsia="nl-BE"/>
        </w:rPr>
        <w:t>attributions de fonctions</w:t>
      </w: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sectorielles ; les modalités relatives à </w:t>
      </w: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u w:val="single"/>
          <w:lang w:val="fr-BE" w:eastAsia="nl-BE"/>
        </w:rPr>
        <w:t>l’application des barèmes IFIC</w:t>
      </w:r>
      <w:r w:rsidRPr="009E516D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Pr="00C7100C">
        <w:rPr>
          <w:rFonts w:eastAsia="Times New Roman" w:cstheme="minorHAnsi"/>
          <w:i/>
          <w:iCs/>
          <w:color w:val="3B3838" w:themeColor="background2" w:themeShade="40"/>
          <w:sz w:val="24"/>
          <w:szCs w:val="24"/>
          <w:lang w:val="fr-BE" w:eastAsia="nl-BE"/>
        </w:rPr>
        <w:t>feront l’objet d’une convention collective distincte, encore à conclure par les partenaires sociaux.</w:t>
      </w:r>
    </w:p>
    <w:p w14:paraId="32C6BC46" w14:textId="737C6952" w:rsidR="002709FE" w:rsidRPr="00BE4D7A" w:rsidRDefault="00B47C01" w:rsidP="002709FE">
      <w:pPr>
        <w:spacing w:before="120" w:after="120"/>
        <w:jc w:val="both"/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es </w:t>
      </w:r>
      <w:r w:rsidR="00497350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travailleurs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en service qui seront dans le champ d’application du volet barémique auront, après avoir reçu leur attribution de fonction, la possibilité de 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u w:val="single"/>
          <w:lang w:val="fr-BE" w:eastAsia="nl-BE"/>
        </w:rPr>
        <w:t>choisir</w:t>
      </w:r>
      <w:r w:rsidR="004317EE" w:rsidRPr="00BE4D7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 :</w:t>
      </w:r>
    </w:p>
    <w:p w14:paraId="516FD912" w14:textId="77777777" w:rsidR="00E6301B" w:rsidRDefault="00E6301B" w:rsidP="00E6301B">
      <w:pPr>
        <w:pStyle w:val="Paragraphedeliste"/>
        <w:numPr>
          <w:ilvl w:val="0"/>
          <w:numId w:val="18"/>
        </w:numPr>
        <w:spacing w:before="120" w:after="120" w:line="254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lastRenderedPageBreak/>
        <w:t xml:space="preserve">Soit d’entrer dans le nouveau barème IFIC associé à leur fonction sectorielle </w:t>
      </w:r>
    </w:p>
    <w:p w14:paraId="4AE755D7" w14:textId="77777777" w:rsidR="00E6301B" w:rsidRDefault="00E6301B" w:rsidP="00E6301B">
      <w:pPr>
        <w:pStyle w:val="Paragraphedeliste"/>
        <w:numPr>
          <w:ilvl w:val="0"/>
          <w:numId w:val="19"/>
        </w:numPr>
        <w:spacing w:before="120" w:after="120" w:line="254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Soit de conserver leur situation barémique actuelle. </w:t>
      </w:r>
    </w:p>
    <w:p w14:paraId="1958DB00" w14:textId="2FFA4245" w:rsidR="004317EE" w:rsidRPr="001315DA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Pour vous soutenir dans votre choix, une simulation salariale individuelle qui compare votre </w:t>
      </w:r>
      <w:r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barème actuel et le nouveau barème IFIC pour le reste de votre carrière </w:t>
      </w:r>
      <w:r w:rsidRPr="004530E8">
        <w:rPr>
          <w:color w:val="3B3838"/>
          <w:sz w:val="24"/>
          <w:szCs w:val="24"/>
          <w:lang w:val="fr-BE"/>
        </w:rPr>
        <w:t>sera mise à votre disposition.</w:t>
      </w:r>
      <w:r w:rsidRPr="004530E8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Cette simulation sera réalisée au moyen d’un outil standardisé développé par l’asbl IFIC. Si vous souhaitez vous faire assister dans votre choix, vous pouvez bien sûr vous adresser </w:t>
      </w: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 </w:t>
      </w:r>
      <w:r w:rsidRPr="00464B4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votre direction/service du personnel/RH</w:t>
      </w:r>
      <w:r w:rsidR="000C7457" w:rsidRPr="00464B4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et, le cas échéant, à votre syndicat</w:t>
      </w:r>
      <w:r w:rsidRPr="00464B4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.</w:t>
      </w: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</w:p>
    <w:p w14:paraId="5228EE31" w14:textId="7D0DE976" w:rsidR="00956EDF" w:rsidRDefault="004317EE" w:rsidP="004317EE">
      <w:pPr>
        <w:jc w:val="both"/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</w:pP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Dans tous les cas, la nouvelle classification de fonctions ne peut engendrer de perte de salaire pour aucun</w:t>
      </w:r>
      <w:r w:rsidR="00497350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travailleur</w:t>
      </w:r>
      <w:r w:rsidRPr="001315D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en service au moment où les barèmes IFIC entrent en vigueur. </w:t>
      </w:r>
    </w:p>
    <w:p w14:paraId="3A8CA848" w14:textId="63AF2B9C" w:rsidR="004317EE" w:rsidRPr="001315DA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1315DA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ATTENTION :</w:t>
      </w:r>
    </w:p>
    <w:p w14:paraId="1396D12D" w14:textId="11567D9B" w:rsidR="00567DF3" w:rsidRPr="00567DF3" w:rsidRDefault="004317EE" w:rsidP="00567DF3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 w:rsidRPr="007065A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nl-BE"/>
        </w:rPr>
        <w:t xml:space="preserve">Aucune simulation salariale individuelle ne sera mise à disposition des travailleurs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avant la communication à chaque travailleur de son attribution de fonction individuelle </w:t>
      </w:r>
      <w:r w:rsidR="00567DF3" w:rsidRPr="00567D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à la date E </w:t>
      </w:r>
      <w:r w:rsidR="00C7100C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(</w:t>
      </w:r>
      <w:r w:rsidR="00567DF3" w:rsidRPr="00567D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fixée dans l’institution entre le 17/10/2022 et le 16/01/2023). </w:t>
      </w:r>
    </w:p>
    <w:p w14:paraId="765BD61D" w14:textId="19C243BD" w:rsidR="00B568E4" w:rsidRDefault="009E7904" w:rsidP="00B568E4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S</w:t>
      </w:r>
      <w:r w:rsidR="004317EE" w:rsidRPr="002745F3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i vous décidez d’opter pour le nouveau barème IFIC, </w:t>
      </w:r>
      <w:r w:rsidR="00637269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ce </w:t>
      </w:r>
      <w:r w:rsidR="001B5A19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choix </w:t>
      </w:r>
      <w:r w:rsidR="00637269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 xml:space="preserve">sera </w:t>
      </w:r>
      <w:r w:rsidR="001B5A19"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  <w:t>unique et irréversible.</w:t>
      </w:r>
    </w:p>
    <w:p w14:paraId="77C96623" w14:textId="77777777" w:rsidR="00B568E4" w:rsidRPr="00BE4D7A" w:rsidRDefault="00B568E4" w:rsidP="00BE4D7A">
      <w:pPr>
        <w:pStyle w:val="Paragraphedeliste"/>
        <w:spacing w:line="240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nl-BE"/>
        </w:rPr>
      </w:pPr>
    </w:p>
    <w:p w14:paraId="248EB79A" w14:textId="77777777" w:rsidR="004317EE" w:rsidRPr="002C0170" w:rsidRDefault="004317EE" w:rsidP="004317EE">
      <w:pPr>
        <w:pStyle w:val="Paragraphedeliste"/>
        <w:numPr>
          <w:ilvl w:val="0"/>
          <w:numId w:val="14"/>
        </w:numPr>
        <w:ind w:left="993"/>
        <w:rPr>
          <w:b/>
          <w:bCs/>
          <w:smallCaps/>
          <w:color w:val="595959" w:themeColor="text1" w:themeTint="A6"/>
          <w:sz w:val="28"/>
          <w:szCs w:val="28"/>
        </w:rPr>
      </w:pPr>
      <w:r w:rsidRPr="002C0170">
        <w:rPr>
          <w:b/>
          <w:bCs/>
          <w:smallCaps/>
          <w:color w:val="595959" w:themeColor="text1" w:themeTint="A6"/>
          <w:sz w:val="28"/>
          <w:szCs w:val="28"/>
        </w:rPr>
        <w:t>É</w:t>
      </w:r>
      <w:r>
        <w:rPr>
          <w:b/>
          <w:bCs/>
          <w:smallCaps/>
          <w:color w:val="595959" w:themeColor="text1" w:themeTint="A6"/>
          <w:sz w:val="28"/>
          <w:szCs w:val="28"/>
        </w:rPr>
        <w:t>tape 4 : paiement du nouveau barème</w:t>
      </w:r>
    </w:p>
    <w:p w14:paraId="12264964" w14:textId="4CAD647A" w:rsidR="004317EE" w:rsidRDefault="004317EE" w:rsidP="004317E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Les barèmes IFIC sont les mêmes dans les différents secteurs qui implémentent la nouvelle classification de fonctions des secteurs fédéraux et régionalisés des soins de santé.</w:t>
      </w:r>
    </w:p>
    <w:p w14:paraId="4A0EB5F5" w14:textId="2F2FA6B4" w:rsidR="00567DF3" w:rsidRDefault="004317EE" w:rsidP="00567DF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 vous optez pour le barème IFIC, vous serez rémunéré selon ce nouveau barème au plus tôt à partir du mois qui s</w:t>
      </w:r>
      <w:r w:rsidR="0019085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u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it la notification de votre choix d’opter pour le barème IFIC à votre employeur</w:t>
      </w:r>
      <w:r w:rsidR="00321B06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(voir étape 3 ci-dessus)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. Une application rétroactive des barèmes IFIC au </w:t>
      </w:r>
      <w:r w:rsidR="00567DF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1</w:t>
      </w:r>
      <w:r w:rsidR="00567DF3" w:rsidRPr="00567DF3">
        <w:rPr>
          <w:rFonts w:eastAsia="Times New Roman" w:cstheme="minorHAnsi"/>
          <w:color w:val="3B3838" w:themeColor="background2" w:themeShade="40"/>
          <w:sz w:val="24"/>
          <w:szCs w:val="24"/>
          <w:vertAlign w:val="superscript"/>
          <w:lang w:val="fr-BE" w:eastAsia="nl-BE"/>
        </w:rPr>
        <w:t>er</w:t>
      </w:r>
      <w:r w:rsidR="00567DF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juillet 2022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est par ailleurs prévue, pour les travailleurs qui auront opté pour les barèmes IFIC. Ce dernier élément, ainsi que les modalités d’activation des barèmes IFIC qui seront applicables </w:t>
      </w:r>
      <w:r w:rsidR="009E790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à votre secteur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</w:t>
      </w:r>
      <w:r w:rsidR="00EE6D1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 w:rsidR="009E7904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er</w:t>
      </w:r>
      <w:r w:rsidR="00EE6D11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ont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précisés dans l</w:t>
      </w:r>
      <w:r w:rsidR="008C26D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a convention collective de travail traitant les aspects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barémique</w:t>
      </w:r>
      <w:r w:rsidR="008C26D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 w:rsidR="00567DF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à conclure par les partenaires sociaux.</w:t>
      </w:r>
    </w:p>
    <w:p w14:paraId="06635186" w14:textId="4957D838" w:rsidR="005B628E" w:rsidRDefault="005B628E" w:rsidP="00567DF3">
      <w:pPr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val="fr-BE" w:eastAsia="nl-BE"/>
        </w:rPr>
        <w:t xml:space="preserve">ET MAINTENANT ? </w:t>
      </w:r>
    </w:p>
    <w:p w14:paraId="2B3B3C33" w14:textId="77777777" w:rsidR="005B628E" w:rsidRDefault="005B628E" w:rsidP="005B628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L’implémentation de la nouvelle classification de fonctions représente un changement important pour le secteur. Le présent document constitue une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première information générale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à l’attention des travailleurs. </w:t>
      </w:r>
    </w:p>
    <w:p w14:paraId="1A81450D" w14:textId="77777777" w:rsidR="005B628E" w:rsidRDefault="005B628E" w:rsidP="005B628E">
      <w:pPr>
        <w:jc w:val="both"/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Dans l’immédiat, aucune action spécifique n’est attendue de votre part.</w:t>
      </w:r>
    </w:p>
    <w:p w14:paraId="6097485D" w14:textId="5F5C5121" w:rsidR="008C26D3" w:rsidRPr="00BE4D7A" w:rsidRDefault="005B628E" w:rsidP="008C26D3">
      <w:pPr>
        <w:jc w:val="both"/>
        <w:rPr>
          <w:lang w:val="fr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Si vous le souhaitez, vous pouvez consulter toutes les informations</w:t>
      </w:r>
      <w:r w:rsidR="00D73DE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concernant la classification de fonctions sur le site de l’asbl IFIC</w:t>
      </w:r>
      <w:r w:rsidR="00567DF3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:</w:t>
      </w:r>
      <w:r w:rsidR="00567DF3" w:rsidRPr="00567DF3">
        <w:rPr>
          <w:lang w:val="fr-BE"/>
        </w:rPr>
        <w:t xml:space="preserve"> </w:t>
      </w:r>
      <w:hyperlink r:id="rId9" w:history="1">
        <w:r w:rsidR="007F6FE2" w:rsidRPr="007F6FE2">
          <w:rPr>
            <w:rStyle w:val="Lienhypertexte"/>
            <w:lang w:val="fr-BE"/>
          </w:rPr>
          <w:t>Bruxelles - IFIC (if-ic.org)</w:t>
        </w:r>
      </w:hyperlink>
    </w:p>
    <w:p w14:paraId="6C42B300" w14:textId="6E5AB658" w:rsidR="005B628E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 w:rsidRPr="00BE4D7A">
        <w:rPr>
          <w:lang w:val="fr-BE"/>
        </w:rPr>
        <w:t>V</w:t>
      </w:r>
      <w:r w:rsidR="005B628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ous y trouverez l’éventail de fonctions, les descriptions de fonctions, ainsi que d’autres informations (les </w:t>
      </w:r>
      <w:r w:rsidR="007C054F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c</w:t>
      </w:r>
      <w:r w:rsidR="00C27A6B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onventions collectives de travail</w:t>
      </w:r>
      <w:r w:rsidR="005B628E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etc.).</w:t>
      </w:r>
    </w:p>
    <w:p w14:paraId="52471C58" w14:textId="02CA9DC6" w:rsidR="000A0DC4" w:rsidRDefault="000A0DC4" w:rsidP="005B628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Vous pouvez également consulter dans l’institution l’éventail des fonctions sectorielles et les descriptions de fonctions IFIC </w:t>
      </w:r>
      <w:r w:rsidR="007F6FE2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dans votre institution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à l’endroit suivant : </w:t>
      </w:r>
    </w:p>
    <w:p w14:paraId="19936658" w14:textId="29124F5F" w:rsidR="008C26D3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………………………………………………………</w:t>
      </w:r>
      <w:r w:rsidR="006F5BB2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[</w:t>
      </w:r>
      <w:proofErr w:type="gramStart"/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lieu</w:t>
      </w:r>
      <w:proofErr w:type="gramEnd"/>
      <w:r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à fixer par votre institution]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(ex : service, intranet)</w:t>
      </w:r>
    </w:p>
    <w:p w14:paraId="2449B5BE" w14:textId="3060C21E" w:rsidR="008C26D3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Une </w:t>
      </w:r>
      <w:r>
        <w:rPr>
          <w:rFonts w:eastAsia="Times New Roman" w:cstheme="minorHAnsi"/>
          <w:b/>
          <w:color w:val="3B3838" w:themeColor="background2" w:themeShade="40"/>
          <w:sz w:val="24"/>
          <w:szCs w:val="24"/>
          <w:lang w:val="fr-BE" w:eastAsia="nl-BE"/>
        </w:rPr>
        <w:t>deuxième communication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vous sera remise lorsque vous recevrez votre attribution de fonction,</w:t>
      </w:r>
      <w:r w:rsidRPr="00FC00C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 </w:t>
      </w:r>
      <w:r w:rsidR="00EB20B3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>à la date E fixée dans votre institution</w:t>
      </w:r>
      <w:r w:rsidR="0078071C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val="fr-BE" w:eastAsia="nl-BE"/>
        </w:rPr>
        <w:t xml:space="preserve">, à savoir </w:t>
      </w:r>
      <w:r w:rsidR="0078071C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………………  [</w:t>
      </w:r>
      <w:proofErr w:type="gramStart"/>
      <w:r w:rsidR="0078071C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>date</w:t>
      </w:r>
      <w:proofErr w:type="gramEnd"/>
      <w:r w:rsidR="0078071C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lightGray"/>
          <w:lang w:val="fr-BE" w:eastAsia="nl-BE"/>
        </w:rPr>
        <w:t xml:space="preserve"> à fixer par votre institution]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: vous y trouverez une explication complète des démarches à entreprendre pour accepter votre attribution de fonction ou introduire un recours, ainsi que pour communiquer votre choix barémique, le cas échéant.  </w:t>
      </w:r>
    </w:p>
    <w:p w14:paraId="3ACE0387" w14:textId="4B13B076" w:rsidR="008C26D3" w:rsidRDefault="008C26D3" w:rsidP="008C26D3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Vous pouvez également obtenir des informations au sujet de l’IFIC auprès de votre direction/service du personnel/RH et</w:t>
      </w:r>
      <w:r w:rsidR="000C7457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, le cas échéant,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de</w:t>
      </w:r>
      <w:r w:rsidR="000E6A6A"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 votre syndicat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 xml:space="preserve">, qui se tiennent à votre disposition. </w:t>
      </w:r>
    </w:p>
    <w:p w14:paraId="2792E5CC" w14:textId="77777777" w:rsidR="001F771E" w:rsidRDefault="001F771E" w:rsidP="005B628E">
      <w:pPr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</w:p>
    <w:p w14:paraId="52825253" w14:textId="776E64C4" w:rsidR="00853E44" w:rsidRPr="00801BF7" w:rsidRDefault="005B628E" w:rsidP="00801BF7">
      <w:pPr>
        <w:jc w:val="center"/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val="fr-BE" w:eastAsia="nl-BE"/>
        </w:rPr>
        <w:t>****</w:t>
      </w:r>
    </w:p>
    <w:p w14:paraId="2A5A15E8" w14:textId="77777777" w:rsidR="006F770F" w:rsidRDefault="006F770F">
      <w:pPr>
        <w:spacing w:line="259" w:lineRule="auto"/>
        <w:rPr>
          <w:rFonts w:eastAsia="Times New Roman" w:cstheme="minorHAnsi"/>
          <w:b/>
          <w:bCs/>
          <w:color w:val="3B3838" w:themeColor="background2" w:themeShade="40"/>
          <w:lang w:val="fr-BE" w:eastAsia="nl-BE"/>
        </w:rPr>
      </w:pPr>
      <w:r>
        <w:rPr>
          <w:rFonts w:eastAsia="Times New Roman" w:cstheme="minorHAnsi"/>
          <w:b/>
          <w:bCs/>
          <w:color w:val="3B3838" w:themeColor="background2" w:themeShade="40"/>
          <w:lang w:val="fr-BE" w:eastAsia="nl-BE"/>
        </w:rPr>
        <w:br w:type="page"/>
      </w:r>
    </w:p>
    <w:p w14:paraId="6EB47C4B" w14:textId="4058D116" w:rsidR="00067643" w:rsidRPr="007F0D83" w:rsidRDefault="00067643" w:rsidP="00067643">
      <w:pPr>
        <w:rPr>
          <w:rFonts w:eastAsia="Times New Roman" w:cstheme="minorHAnsi"/>
          <w:color w:val="3B3838" w:themeColor="background2" w:themeShade="40"/>
          <w:lang w:val="fr-BE" w:eastAsia="nl-BE"/>
        </w:rPr>
      </w:pPr>
      <w:r w:rsidRPr="007F0D83">
        <w:rPr>
          <w:rFonts w:eastAsia="Times New Roman" w:cstheme="minorHAnsi"/>
          <w:b/>
          <w:bCs/>
          <w:color w:val="3B3838" w:themeColor="background2" w:themeShade="40"/>
          <w:lang w:val="fr-BE" w:eastAsia="nl-BE"/>
        </w:rPr>
        <w:lastRenderedPageBreak/>
        <w:t>ANNEXE</w:t>
      </w: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 : </w:t>
      </w:r>
    </w:p>
    <w:p w14:paraId="1D1141A9" w14:textId="04121917" w:rsidR="00067643" w:rsidRPr="007F0D83" w:rsidRDefault="00067643" w:rsidP="00067643">
      <w:pPr>
        <w:rPr>
          <w:rFonts w:eastAsia="Times New Roman" w:cstheme="minorHAnsi"/>
          <w:color w:val="3B3838" w:themeColor="background2" w:themeShade="40"/>
          <w:lang w:val="fr-BE" w:eastAsia="nl-BE"/>
        </w:rPr>
      </w:pP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Aperçu schématique du </w:t>
      </w:r>
      <w:proofErr w:type="gramStart"/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>timing</w:t>
      </w:r>
      <w:proofErr w:type="gramEnd"/>
      <w:r w:rsidR="0078071C">
        <w:rPr>
          <w:rStyle w:val="Appelnotedebasdep"/>
          <w:rFonts w:eastAsia="Times New Roman" w:cstheme="minorHAnsi"/>
          <w:color w:val="3B3838" w:themeColor="background2" w:themeShade="40"/>
          <w:lang w:val="fr-BE" w:eastAsia="nl-BE"/>
        </w:rPr>
        <w:footnoteReference w:id="1"/>
      </w: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 pour les institutions </w:t>
      </w:r>
      <w:r w:rsidR="00596A7E">
        <w:rPr>
          <w:rFonts w:eastAsia="Times New Roman" w:cstheme="minorHAnsi"/>
          <w:color w:val="3B3838" w:themeColor="background2" w:themeShade="40"/>
          <w:lang w:val="fr-BE" w:eastAsia="nl-BE"/>
        </w:rPr>
        <w:t>SANS</w:t>
      </w:r>
      <w:r w:rsidRPr="007F0D83">
        <w:rPr>
          <w:rFonts w:eastAsia="Times New Roman" w:cstheme="minorHAnsi"/>
          <w:color w:val="3B3838" w:themeColor="background2" w:themeShade="40"/>
          <w:lang w:val="fr-BE" w:eastAsia="nl-BE"/>
        </w:rPr>
        <w:t xml:space="preserve"> organe de concertation paritaire interne (CEE/CPPT/DS)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784"/>
        <w:gridCol w:w="6564"/>
      </w:tblGrid>
      <w:tr w:rsidR="008A0558" w:rsidRPr="0082467E" w14:paraId="5DB17E6A" w14:textId="77777777" w:rsidTr="00464B47">
        <w:tc>
          <w:tcPr>
            <w:tcW w:w="3784" w:type="dxa"/>
          </w:tcPr>
          <w:p w14:paraId="0CE334AD" w14:textId="77777777" w:rsidR="008A0558" w:rsidRPr="0082467E" w:rsidRDefault="008A0558" w:rsidP="00AA020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82467E">
              <w:rPr>
                <w:rFonts w:cstheme="minorHAnsi"/>
                <w:b/>
                <w:bCs/>
                <w:sz w:val="20"/>
                <w:szCs w:val="20"/>
                <w:lang w:val="fr-BE"/>
              </w:rPr>
              <w:t>Date</w:t>
            </w:r>
          </w:p>
        </w:tc>
        <w:tc>
          <w:tcPr>
            <w:tcW w:w="6564" w:type="dxa"/>
          </w:tcPr>
          <w:p w14:paraId="036891E4" w14:textId="77777777" w:rsidR="008A0558" w:rsidRPr="00122BEE" w:rsidRDefault="008A0558" w:rsidP="00AA020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122BEE">
              <w:rPr>
                <w:rFonts w:cstheme="minorHAnsi"/>
                <w:b/>
                <w:bCs/>
                <w:sz w:val="20"/>
                <w:szCs w:val="20"/>
                <w:lang w:val="fr-BE"/>
              </w:rPr>
              <w:t>To do</w:t>
            </w:r>
          </w:p>
        </w:tc>
      </w:tr>
      <w:tr w:rsidR="008A0558" w:rsidRPr="007F6FE2" w14:paraId="217E0153" w14:textId="77777777" w:rsidTr="00464B47">
        <w:tc>
          <w:tcPr>
            <w:tcW w:w="3784" w:type="dxa"/>
          </w:tcPr>
          <w:p w14:paraId="7D4B9740" w14:textId="77777777" w:rsidR="008A0558" w:rsidRPr="0082467E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 w:rsidRPr="00FF6C11">
              <w:rPr>
                <w:rFonts w:cstheme="minorHAnsi"/>
                <w:sz w:val="20"/>
                <w:szCs w:val="20"/>
                <w:lang w:val="fr-BE"/>
              </w:rPr>
              <w:t xml:space="preserve">Le </w:t>
            </w:r>
            <w:r>
              <w:rPr>
                <w:rFonts w:cstheme="minorHAnsi"/>
                <w:sz w:val="20"/>
                <w:szCs w:val="20"/>
                <w:lang w:val="fr-BE"/>
              </w:rPr>
              <w:t>01</w:t>
            </w:r>
            <w:r w:rsidRPr="00FF6C11">
              <w:rPr>
                <w:rFonts w:cstheme="minorHAnsi"/>
                <w:sz w:val="20"/>
                <w:szCs w:val="20"/>
                <w:lang w:val="fr-BE"/>
              </w:rPr>
              <w:t>/0</w:t>
            </w:r>
            <w:r>
              <w:rPr>
                <w:rFonts w:cstheme="minorHAnsi"/>
                <w:sz w:val="20"/>
                <w:szCs w:val="20"/>
                <w:lang w:val="fr-BE"/>
              </w:rPr>
              <w:t>4</w:t>
            </w:r>
            <w:r w:rsidRPr="00FF6C11">
              <w:rPr>
                <w:rFonts w:cstheme="minorHAnsi"/>
                <w:sz w:val="20"/>
                <w:szCs w:val="20"/>
                <w:lang w:val="fr-BE"/>
              </w:rPr>
              <w:t>/2022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au plus tard</w:t>
            </w:r>
          </w:p>
        </w:tc>
        <w:tc>
          <w:tcPr>
            <w:tcW w:w="6564" w:type="dxa"/>
          </w:tcPr>
          <w:p w14:paraId="57F65DEC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Désignation du responsable-processus par l’employeur</w:t>
            </w:r>
          </w:p>
        </w:tc>
      </w:tr>
      <w:tr w:rsidR="008A0558" w:rsidRPr="007F6FE2" w14:paraId="6C3A3892" w14:textId="77777777" w:rsidTr="00464B47">
        <w:tc>
          <w:tcPr>
            <w:tcW w:w="3784" w:type="dxa"/>
          </w:tcPr>
          <w:p w14:paraId="7A0597C7" w14:textId="77777777" w:rsidR="008A0558" w:rsidRPr="0082467E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Entre le 28/04/2022 et le 24/05/2022</w:t>
            </w:r>
          </w:p>
        </w:tc>
        <w:tc>
          <w:tcPr>
            <w:tcW w:w="6564" w:type="dxa"/>
          </w:tcPr>
          <w:p w14:paraId="439CAA33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Formation des responsables-processus par l’asbl IFIC</w:t>
            </w:r>
          </w:p>
        </w:tc>
      </w:tr>
      <w:tr w:rsidR="008A0558" w:rsidRPr="0082467E" w14:paraId="14191818" w14:textId="77777777" w:rsidTr="00464B47">
        <w:tc>
          <w:tcPr>
            <w:tcW w:w="3784" w:type="dxa"/>
          </w:tcPr>
          <w:p w14:paraId="10993546" w14:textId="77777777" w:rsidR="008A0558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 w:rsidRPr="003F25C0">
              <w:rPr>
                <w:rFonts w:cstheme="minorHAnsi"/>
                <w:sz w:val="20"/>
                <w:szCs w:val="20"/>
                <w:lang w:val="fr-BE"/>
              </w:rPr>
              <w:t xml:space="preserve">Le 13/06/2022 au plus tard </w:t>
            </w:r>
          </w:p>
        </w:tc>
        <w:tc>
          <w:tcPr>
            <w:tcW w:w="6564" w:type="dxa"/>
          </w:tcPr>
          <w:p w14:paraId="609D7833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Communication générale aux travailleurs</w:t>
            </w:r>
          </w:p>
        </w:tc>
      </w:tr>
      <w:tr w:rsidR="008A0558" w:rsidRPr="007F6FE2" w14:paraId="77795019" w14:textId="77777777" w:rsidTr="00464B47">
        <w:tc>
          <w:tcPr>
            <w:tcW w:w="3784" w:type="dxa"/>
            <w:shd w:val="clear" w:color="auto" w:fill="auto"/>
          </w:tcPr>
          <w:p w14:paraId="21BE02D9" w14:textId="77777777" w:rsidR="008A0558" w:rsidRPr="00F26678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highlight w:val="red"/>
              </w:rPr>
            </w:pPr>
            <w:r w:rsidRPr="00654AD8">
              <w:rPr>
                <w:rFonts w:cstheme="minorHAnsi"/>
                <w:color w:val="000000" w:themeColor="text1"/>
                <w:sz w:val="20"/>
                <w:szCs w:val="20"/>
              </w:rPr>
              <w:t>Le 11/07/2022</w:t>
            </w:r>
          </w:p>
        </w:tc>
        <w:tc>
          <w:tcPr>
            <w:tcW w:w="6564" w:type="dxa"/>
          </w:tcPr>
          <w:p w14:paraId="1180062B" w14:textId="77777777" w:rsidR="008A0558" w:rsidRPr="00FA7FDD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FA7FDD">
              <w:rPr>
                <w:rFonts w:cstheme="minorHAnsi"/>
                <w:sz w:val="20"/>
                <w:szCs w:val="20"/>
              </w:rPr>
              <w:t xml:space="preserve">Composition </w:t>
            </w:r>
            <w:r>
              <w:rPr>
                <w:rFonts w:cstheme="minorHAnsi"/>
                <w:sz w:val="20"/>
                <w:szCs w:val="20"/>
              </w:rPr>
              <w:t xml:space="preserve">de la </w:t>
            </w:r>
            <w:r w:rsidRPr="00FA7FDD">
              <w:rPr>
                <w:rFonts w:cstheme="minorHAnsi"/>
                <w:sz w:val="20"/>
                <w:szCs w:val="20"/>
              </w:rPr>
              <w:t>commission d’accompagnement sectorielle et composition de la commission de recours sectorielle</w:t>
            </w:r>
          </w:p>
        </w:tc>
      </w:tr>
      <w:tr w:rsidR="008A0558" w:rsidRPr="007F6FE2" w14:paraId="15DB6248" w14:textId="77777777" w:rsidTr="00464B47">
        <w:tc>
          <w:tcPr>
            <w:tcW w:w="3784" w:type="dxa"/>
            <w:vMerge w:val="restart"/>
          </w:tcPr>
          <w:p w14:paraId="0402BCEE" w14:textId="77777777" w:rsidR="008A0558" w:rsidRPr="0082467E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Le 09/09/2022 au plus tard</w:t>
            </w:r>
          </w:p>
          <w:p w14:paraId="7816B506" w14:textId="77777777" w:rsidR="008A0558" w:rsidRPr="0082467E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6564" w:type="dxa"/>
          </w:tcPr>
          <w:p w14:paraId="1A2B9AB9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 xml:space="preserve">Préparation responsable-processus + </w:t>
            </w:r>
            <w:r>
              <w:rPr>
                <w:rFonts w:cstheme="minorHAnsi"/>
                <w:sz w:val="20"/>
                <w:szCs w:val="20"/>
              </w:rPr>
              <w:t xml:space="preserve">le cas échéant, </w:t>
            </w:r>
            <w:r w:rsidRPr="0082467E">
              <w:rPr>
                <w:rFonts w:cstheme="minorHAnsi"/>
                <w:sz w:val="20"/>
                <w:szCs w:val="20"/>
              </w:rPr>
              <w:t xml:space="preserve">information aux membres </w:t>
            </w:r>
            <w:r>
              <w:rPr>
                <w:rFonts w:cstheme="minorHAnsi"/>
                <w:sz w:val="20"/>
                <w:szCs w:val="20"/>
              </w:rPr>
              <w:t>de la commission d’accompagnement sectorielle</w:t>
            </w:r>
            <w:r w:rsidRPr="0082467E">
              <w:rPr>
                <w:rFonts w:cstheme="minorHAnsi"/>
                <w:sz w:val="20"/>
                <w:szCs w:val="20"/>
              </w:rPr>
              <w:t xml:space="preserve"> (liste de personnel, organigramme, descriptions de fonctions)</w:t>
            </w:r>
          </w:p>
        </w:tc>
      </w:tr>
      <w:tr w:rsidR="008A0558" w:rsidRPr="007F6FE2" w14:paraId="01FAD6C1" w14:textId="77777777" w:rsidTr="00464B47">
        <w:tc>
          <w:tcPr>
            <w:tcW w:w="3784" w:type="dxa"/>
            <w:vMerge/>
          </w:tcPr>
          <w:p w14:paraId="1C562B0A" w14:textId="77777777" w:rsidR="008A0558" w:rsidRPr="00067643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6564" w:type="dxa"/>
          </w:tcPr>
          <w:p w14:paraId="30BDF207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335C66">
              <w:rPr>
                <w:rFonts w:cstheme="minorHAnsi"/>
                <w:sz w:val="20"/>
                <w:szCs w:val="20"/>
              </w:rPr>
              <w:t>Le cas échéant : notification par l’employeur de son intention de faire appel aux services de la commission d’accompagnement sectorielle (+ communications coordonnées de contact du responsable-processus)</w:t>
            </w:r>
          </w:p>
        </w:tc>
      </w:tr>
      <w:tr w:rsidR="008A0558" w:rsidRPr="007F6FE2" w14:paraId="43FC95C1" w14:textId="77777777" w:rsidTr="00464B47">
        <w:tc>
          <w:tcPr>
            <w:tcW w:w="3784" w:type="dxa"/>
          </w:tcPr>
          <w:p w14:paraId="0F0D6649" w14:textId="77777777" w:rsidR="008A0558" w:rsidRDefault="008A0558" w:rsidP="00AA0203">
            <w:pPr>
              <w:spacing w:before="120" w:after="120"/>
              <w:rPr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Le 16/09/2022 au plus tard</w:t>
            </w:r>
          </w:p>
        </w:tc>
        <w:tc>
          <w:tcPr>
            <w:tcW w:w="6564" w:type="dxa"/>
          </w:tcPr>
          <w:p w14:paraId="1019AC88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Envoyer les propositions d’attribution à la BCA sectorielle</w:t>
            </w:r>
          </w:p>
        </w:tc>
      </w:tr>
      <w:tr w:rsidR="008A0558" w:rsidRPr="007F6FE2" w14:paraId="53F2FD31" w14:textId="77777777" w:rsidTr="00464B47">
        <w:tc>
          <w:tcPr>
            <w:tcW w:w="3784" w:type="dxa"/>
          </w:tcPr>
          <w:p w14:paraId="4C09D75E" w14:textId="77777777" w:rsidR="008A0558" w:rsidRPr="003F25C0" w:rsidRDefault="008A0558" w:rsidP="00AA0203">
            <w:pPr>
              <w:spacing w:before="120" w:after="12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Entre le 23/09/2022 et le 02/01/2023 au plus tard</w:t>
            </w:r>
          </w:p>
        </w:tc>
        <w:tc>
          <w:tcPr>
            <w:tcW w:w="6564" w:type="dxa"/>
          </w:tcPr>
          <w:p w14:paraId="30980B37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Discussion des attributions en</w:t>
            </w:r>
            <w:r>
              <w:rPr>
                <w:rFonts w:cstheme="minorHAnsi"/>
                <w:sz w:val="20"/>
                <w:szCs w:val="20"/>
              </w:rPr>
              <w:t xml:space="preserve"> commission d’accompagnement sectorielle </w:t>
            </w:r>
          </w:p>
        </w:tc>
      </w:tr>
      <w:tr w:rsidR="008A0558" w:rsidRPr="007F6FE2" w14:paraId="22E3985C" w14:textId="77777777" w:rsidTr="00464B47">
        <w:tc>
          <w:tcPr>
            <w:tcW w:w="3784" w:type="dxa"/>
          </w:tcPr>
          <w:p w14:paraId="2BE83431" w14:textId="77777777" w:rsidR="008A0558" w:rsidRPr="009514A4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Jusqu’à la date E - 1 semaine, et pour le 09/01/2023 au plus tard</w:t>
            </w:r>
          </w:p>
        </w:tc>
        <w:tc>
          <w:tcPr>
            <w:tcW w:w="6564" w:type="dxa"/>
          </w:tcPr>
          <w:p w14:paraId="06270B27" w14:textId="77777777" w:rsidR="008A0558" w:rsidRPr="00157029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157029">
              <w:rPr>
                <w:rFonts w:cstheme="minorHAnsi"/>
                <w:sz w:val="20"/>
                <w:szCs w:val="20"/>
              </w:rPr>
              <w:t>Communication de la commission d’accompagnement sectorielle à l’employeur des remarques et avis sur l’attribution</w:t>
            </w:r>
          </w:p>
        </w:tc>
      </w:tr>
      <w:tr w:rsidR="008A0558" w:rsidRPr="007F6FE2" w14:paraId="267C2DEE" w14:textId="77777777" w:rsidTr="00464B47">
        <w:tc>
          <w:tcPr>
            <w:tcW w:w="3784" w:type="dxa"/>
          </w:tcPr>
          <w:p w14:paraId="1058B5F3" w14:textId="77777777" w:rsidR="008A0558" w:rsidRPr="006A44D1" w:rsidRDefault="008A0558" w:rsidP="00AA0203">
            <w:pPr>
              <w:spacing w:before="120" w:after="120"/>
              <w:rPr>
                <w:rFonts w:cstheme="minorHAnsi"/>
                <w:b/>
                <w:sz w:val="24"/>
                <w:szCs w:val="24"/>
                <w:lang w:val="fr-BE"/>
              </w:rPr>
            </w:pPr>
            <w:r>
              <w:rPr>
                <w:rFonts w:cstheme="minorHAnsi"/>
                <w:b/>
                <w:sz w:val="24"/>
                <w:szCs w:val="24"/>
                <w:lang w:val="fr-BE"/>
              </w:rPr>
              <w:t>Date E : à fixer entre le 17/10/2022 et 16/01/2023</w:t>
            </w:r>
          </w:p>
        </w:tc>
        <w:tc>
          <w:tcPr>
            <w:tcW w:w="6564" w:type="dxa"/>
          </w:tcPr>
          <w:p w14:paraId="3648EB6B" w14:textId="77777777" w:rsidR="008A0558" w:rsidRPr="006A44D1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6A44D1">
              <w:rPr>
                <w:rFonts w:cstheme="minorHAnsi"/>
                <w:b/>
                <w:sz w:val="24"/>
                <w:szCs w:val="24"/>
              </w:rPr>
              <w:t xml:space="preserve">Communication au travailleur de l’attribution de fonction </w:t>
            </w:r>
          </w:p>
        </w:tc>
      </w:tr>
      <w:tr w:rsidR="008A0558" w:rsidRPr="007F6FE2" w14:paraId="743FFE9F" w14:textId="77777777" w:rsidTr="00464B47">
        <w:tc>
          <w:tcPr>
            <w:tcW w:w="3784" w:type="dxa"/>
          </w:tcPr>
          <w:p w14:paraId="04FAD6EF" w14:textId="77777777" w:rsidR="008A0558" w:rsidRPr="00E56646" w:rsidRDefault="008A0558" w:rsidP="00AA0203">
            <w:pPr>
              <w:spacing w:before="120" w:after="120"/>
              <w:rPr>
                <w:sz w:val="20"/>
                <w:szCs w:val="20"/>
                <w:highlight w:val="yellow"/>
                <w:lang w:val="fr-BE"/>
              </w:rPr>
            </w:pPr>
            <w:r w:rsidRPr="00067643">
              <w:rPr>
                <w:sz w:val="20"/>
                <w:szCs w:val="20"/>
                <w:lang w:val="fr-BE"/>
              </w:rPr>
              <w:t>Date E + 4 semaines, et pour le 13/02/2023 au plus tard</w:t>
            </w:r>
          </w:p>
        </w:tc>
        <w:tc>
          <w:tcPr>
            <w:tcW w:w="6564" w:type="dxa"/>
          </w:tcPr>
          <w:p w14:paraId="26144FA4" w14:textId="77777777" w:rsidR="008A0558" w:rsidRPr="005E0DFC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5E0DFC">
              <w:rPr>
                <w:rFonts w:cstheme="minorHAnsi"/>
                <w:sz w:val="20"/>
                <w:szCs w:val="20"/>
              </w:rPr>
              <w:t>Si recours</w:t>
            </w:r>
            <w:r>
              <w:rPr>
                <w:rFonts w:cstheme="minorHAnsi"/>
                <w:sz w:val="20"/>
                <w:szCs w:val="20"/>
              </w:rPr>
              <w:t xml:space="preserve"> sectoriel </w:t>
            </w:r>
            <w:r w:rsidRPr="005E0DFC">
              <w:rPr>
                <w:rFonts w:cstheme="minorHAnsi"/>
                <w:sz w:val="20"/>
                <w:szCs w:val="20"/>
              </w:rPr>
              <w:t xml:space="preserve">: introduction du dossier </w:t>
            </w:r>
          </w:p>
        </w:tc>
      </w:tr>
      <w:tr w:rsidR="008A0558" w:rsidRPr="007F6FE2" w14:paraId="21840A1D" w14:textId="77777777" w:rsidTr="00464B47">
        <w:tc>
          <w:tcPr>
            <w:tcW w:w="3784" w:type="dxa"/>
          </w:tcPr>
          <w:p w14:paraId="561814DE" w14:textId="77777777" w:rsidR="008A0558" w:rsidRPr="005566BB" w:rsidRDefault="008A0558" w:rsidP="00AA0203">
            <w:pPr>
              <w:spacing w:before="120" w:after="120"/>
              <w:rPr>
                <w:sz w:val="20"/>
                <w:szCs w:val="20"/>
                <w:highlight w:val="yellow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Date E + 4 mois, et pour le 16/05/2023 au plus tard</w:t>
            </w:r>
          </w:p>
        </w:tc>
        <w:tc>
          <w:tcPr>
            <w:tcW w:w="6564" w:type="dxa"/>
          </w:tcPr>
          <w:p w14:paraId="74E57345" w14:textId="77777777" w:rsidR="008A0558" w:rsidRPr="00AD2A30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D2A30">
              <w:rPr>
                <w:rFonts w:cstheme="minorHAnsi"/>
                <w:sz w:val="20"/>
                <w:szCs w:val="20"/>
              </w:rPr>
              <w:t xml:space="preserve">Communication de la décision du recours </w:t>
            </w:r>
            <w:r>
              <w:rPr>
                <w:rFonts w:cstheme="minorHAnsi"/>
                <w:sz w:val="20"/>
                <w:szCs w:val="20"/>
              </w:rPr>
              <w:t>sectoriel</w:t>
            </w:r>
            <w:r w:rsidRPr="00AD2A30">
              <w:rPr>
                <w:rFonts w:cstheme="minorHAnsi"/>
                <w:sz w:val="20"/>
                <w:szCs w:val="20"/>
              </w:rPr>
              <w:t xml:space="preserve"> au travailleur, dans les 3 mois qui suivent l’introduction du recours </w:t>
            </w:r>
          </w:p>
        </w:tc>
      </w:tr>
      <w:tr w:rsidR="008A0558" w:rsidRPr="007F6FE2" w14:paraId="49A3482F" w14:textId="77777777" w:rsidTr="00464B47">
        <w:tc>
          <w:tcPr>
            <w:tcW w:w="3784" w:type="dxa"/>
          </w:tcPr>
          <w:p w14:paraId="6184D1AD" w14:textId="77777777" w:rsidR="008A0558" w:rsidRPr="005566BB" w:rsidRDefault="008A0558" w:rsidP="00AA0203">
            <w:pPr>
              <w:spacing w:before="120" w:after="120"/>
              <w:rPr>
                <w:sz w:val="20"/>
                <w:szCs w:val="20"/>
                <w:highlight w:val="yellow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 31/05/2023 au plus tard</w:t>
            </w:r>
          </w:p>
        </w:tc>
        <w:tc>
          <w:tcPr>
            <w:tcW w:w="6564" w:type="dxa"/>
          </w:tcPr>
          <w:p w14:paraId="3F6CBD34" w14:textId="77777777" w:rsidR="008A0558" w:rsidRPr="00FA33A2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FA33A2">
              <w:rPr>
                <w:rFonts w:cstheme="minorHAnsi"/>
                <w:sz w:val="20"/>
                <w:szCs w:val="20"/>
              </w:rPr>
              <w:t xml:space="preserve">Dès le résultat du recours </w:t>
            </w:r>
            <w:r>
              <w:rPr>
                <w:rFonts w:cstheme="minorHAnsi"/>
                <w:sz w:val="20"/>
                <w:szCs w:val="20"/>
              </w:rPr>
              <w:t>sectoriel</w:t>
            </w:r>
            <w:r w:rsidRPr="00FA33A2">
              <w:rPr>
                <w:rFonts w:cstheme="minorHAnsi"/>
                <w:sz w:val="20"/>
                <w:szCs w:val="20"/>
              </w:rPr>
              <w:t xml:space="preserve"> : choix d’introduire un recours externe (15 jours calendrier)</w:t>
            </w:r>
          </w:p>
        </w:tc>
      </w:tr>
      <w:tr w:rsidR="008A0558" w:rsidRPr="007F6FE2" w14:paraId="3C29A940" w14:textId="77777777" w:rsidTr="00464B47">
        <w:trPr>
          <w:trHeight w:val="58"/>
        </w:trPr>
        <w:tc>
          <w:tcPr>
            <w:tcW w:w="3784" w:type="dxa"/>
            <w:shd w:val="clear" w:color="auto" w:fill="auto"/>
          </w:tcPr>
          <w:p w14:paraId="18151A2E" w14:textId="77777777" w:rsidR="008A0558" w:rsidRPr="002B5F98" w:rsidRDefault="008A0558" w:rsidP="00AA020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fr-BE"/>
              </w:rPr>
            </w:pPr>
            <w:r w:rsidRPr="002B5F98">
              <w:rPr>
                <w:rFonts w:cstheme="minorHAnsi"/>
                <w:sz w:val="20"/>
                <w:szCs w:val="20"/>
                <w:lang w:val="fr-BE"/>
              </w:rPr>
              <w:t>Le 16/12/2023</w:t>
            </w:r>
          </w:p>
        </w:tc>
        <w:tc>
          <w:tcPr>
            <w:tcW w:w="6564" w:type="dxa"/>
          </w:tcPr>
          <w:p w14:paraId="7C9A07C9" w14:textId="77777777" w:rsidR="008A0558" w:rsidRPr="0082467E" w:rsidRDefault="008A0558" w:rsidP="008A0558">
            <w:pPr>
              <w:pStyle w:val="Paragraphedeliste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2467E">
              <w:rPr>
                <w:rFonts w:cstheme="minorHAnsi"/>
                <w:sz w:val="20"/>
                <w:szCs w:val="20"/>
              </w:rPr>
              <w:t>Date limite pour traitement et communication de l’attribution définitive à l’issue du recours externe</w:t>
            </w:r>
          </w:p>
        </w:tc>
      </w:tr>
    </w:tbl>
    <w:p w14:paraId="286D4563" w14:textId="77777777" w:rsidR="00AA2928" w:rsidRPr="00BE4D7A" w:rsidRDefault="00AA2928" w:rsidP="00464B47">
      <w:pPr>
        <w:tabs>
          <w:tab w:val="left" w:pos="426"/>
        </w:tabs>
        <w:ind w:left="-142"/>
        <w:rPr>
          <w:rFonts w:ascii="Calibri" w:hAnsi="Calibri" w:cs="Calibri"/>
          <w:lang w:val="fr-BE"/>
        </w:rPr>
      </w:pPr>
    </w:p>
    <w:sectPr w:rsidR="00AA2928" w:rsidRPr="00BE4D7A" w:rsidSect="005C5D2D">
      <w:headerReference w:type="default" r:id="rId10"/>
      <w:footerReference w:type="default" r:id="rId11"/>
      <w:pgSz w:w="11906" w:h="16838"/>
      <w:pgMar w:top="1418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6352" w14:textId="77777777" w:rsidR="00670113" w:rsidRDefault="00670113" w:rsidP="005B628E">
      <w:pPr>
        <w:spacing w:after="0" w:line="240" w:lineRule="auto"/>
      </w:pPr>
      <w:r>
        <w:separator/>
      </w:r>
    </w:p>
  </w:endnote>
  <w:endnote w:type="continuationSeparator" w:id="0">
    <w:p w14:paraId="032EC48D" w14:textId="77777777" w:rsidR="00670113" w:rsidRDefault="00670113" w:rsidP="005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052693"/>
      <w:docPartObj>
        <w:docPartGallery w:val="Page Numbers (Bottom of Page)"/>
        <w:docPartUnique/>
      </w:docPartObj>
    </w:sdtPr>
    <w:sdtEndPr/>
    <w:sdtContent>
      <w:p w14:paraId="4A9FEFB5" w14:textId="615A4F45" w:rsidR="00497350" w:rsidRDefault="0049735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BDC97E" w14:textId="77777777" w:rsidR="00497350" w:rsidRDefault="004973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4F95" w14:textId="77777777" w:rsidR="00670113" w:rsidRDefault="00670113" w:rsidP="005B628E">
      <w:pPr>
        <w:spacing w:after="0" w:line="240" w:lineRule="auto"/>
      </w:pPr>
      <w:r>
        <w:separator/>
      </w:r>
    </w:p>
  </w:footnote>
  <w:footnote w:type="continuationSeparator" w:id="0">
    <w:p w14:paraId="6F298126" w14:textId="77777777" w:rsidR="00670113" w:rsidRDefault="00670113" w:rsidP="005B628E">
      <w:pPr>
        <w:spacing w:after="0" w:line="240" w:lineRule="auto"/>
      </w:pPr>
      <w:r>
        <w:continuationSeparator/>
      </w:r>
    </w:p>
  </w:footnote>
  <w:footnote w:id="1">
    <w:p w14:paraId="45594133" w14:textId="0DA45291" w:rsidR="0078071C" w:rsidRPr="00464B47" w:rsidRDefault="0078071C">
      <w:pPr>
        <w:pStyle w:val="Notedebasdepage"/>
        <w:rPr>
          <w:sz w:val="18"/>
          <w:szCs w:val="18"/>
          <w:lang w:val="fr-FR"/>
        </w:rPr>
      </w:pPr>
      <w:r w:rsidRPr="00464B47">
        <w:rPr>
          <w:rStyle w:val="Appelnotedebasdep"/>
          <w:sz w:val="18"/>
          <w:szCs w:val="18"/>
        </w:rPr>
        <w:footnoteRef/>
      </w:r>
      <w:r w:rsidRPr="00464B47">
        <w:rPr>
          <w:i/>
          <w:iCs/>
          <w:sz w:val="18"/>
          <w:szCs w:val="18"/>
          <w:lang w:val="fr-BE"/>
        </w:rPr>
        <w:t xml:space="preserve"> </w:t>
      </w:r>
      <w:r w:rsidR="003518E2" w:rsidRPr="00464B47">
        <w:rPr>
          <w:i/>
          <w:iCs/>
          <w:sz w:val="18"/>
          <w:szCs w:val="18"/>
          <w:lang w:val="fr-BE"/>
        </w:rPr>
        <w:t>Il est à noter que l</w:t>
      </w:r>
      <w:r w:rsidR="003518E2" w:rsidRPr="00464B47">
        <w:rPr>
          <w:i/>
          <w:iCs/>
          <w:sz w:val="18"/>
          <w:szCs w:val="18"/>
          <w:lang w:val="fr-FR"/>
        </w:rPr>
        <w:t xml:space="preserve">es délais prévus dans la phase préparatoire d’attribution de fonctions (soit ceux qui sont antérieurs à la Date E) peuvent être adaptés par l’institution.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E1DB" w14:textId="68C941F0" w:rsidR="006F0303" w:rsidRPr="00FC00CC" w:rsidRDefault="006F0303">
    <w:pPr>
      <w:pStyle w:val="En-tte"/>
      <w:rPr>
        <w:lang w:val="fr-FR"/>
      </w:rPr>
    </w:pPr>
    <w:r>
      <w:rPr>
        <w:lang w:val="fr-FR"/>
      </w:rPr>
      <w:t xml:space="preserve">DOC 01 : secteurs </w:t>
    </w:r>
    <w:r w:rsidR="008A0FBF">
      <w:rPr>
        <w:lang w:val="fr-FR"/>
      </w:rPr>
      <w:t xml:space="preserve">privés </w:t>
    </w:r>
    <w:r w:rsidR="005F46AE">
      <w:rPr>
        <w:lang w:val="fr-FR"/>
      </w:rPr>
      <w:t xml:space="preserve">bruxellois </w:t>
    </w:r>
    <w:r>
      <w:rPr>
        <w:lang w:val="fr-FR"/>
      </w:rPr>
      <w:t>de la santé – Modèle de communication générale</w:t>
    </w:r>
    <w:r w:rsidR="0023318F">
      <w:rPr>
        <w:lang w:val="fr-FR"/>
      </w:rPr>
      <w:t xml:space="preserve"> </w:t>
    </w:r>
    <w:r w:rsidR="0023318F" w:rsidRPr="003F7630">
      <w:rPr>
        <w:rFonts w:cstheme="minorHAnsi"/>
        <w:b/>
        <w:bCs/>
        <w:sz w:val="28"/>
        <w:szCs w:val="28"/>
        <w:shd w:val="clear" w:color="auto" w:fill="FFFFFF"/>
        <w:lang w:val="fr-FR"/>
      </w:rPr>
      <w:t>SANS</w:t>
    </w:r>
    <w:r w:rsidR="0023318F">
      <w:rPr>
        <w:rFonts w:cstheme="minorHAnsi"/>
        <w:b/>
        <w:bCs/>
        <w:shd w:val="clear" w:color="auto" w:fill="FFFFFF"/>
        <w:lang w:val="fr-BE"/>
      </w:rPr>
      <w:t xml:space="preserve"> organe(s) de concertation paritaire interne (DS, CPPT, 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F6"/>
    <w:multiLevelType w:val="hybridMultilevel"/>
    <w:tmpl w:val="A3E40754"/>
    <w:lvl w:ilvl="0" w:tplc="744611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946"/>
    <w:multiLevelType w:val="hybridMultilevel"/>
    <w:tmpl w:val="EB140D9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43091"/>
    <w:multiLevelType w:val="hybridMultilevel"/>
    <w:tmpl w:val="3F6CA3AA"/>
    <w:lvl w:ilvl="0" w:tplc="47E20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366"/>
    <w:multiLevelType w:val="hybridMultilevel"/>
    <w:tmpl w:val="419A3B4C"/>
    <w:lvl w:ilvl="0" w:tplc="89E45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D2EF0"/>
    <w:multiLevelType w:val="hybridMultilevel"/>
    <w:tmpl w:val="A6F0D62C"/>
    <w:lvl w:ilvl="0" w:tplc="D6063608">
      <w:start w:val="1"/>
      <w:numFmt w:val="bullet"/>
      <w:pStyle w:val="Style2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D445E"/>
    <w:multiLevelType w:val="hybridMultilevel"/>
    <w:tmpl w:val="27D0B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99F"/>
    <w:multiLevelType w:val="hybridMultilevel"/>
    <w:tmpl w:val="904ADCE6"/>
    <w:lvl w:ilvl="0" w:tplc="4C58553C">
      <w:start w:val="1"/>
      <w:numFmt w:val="bullet"/>
      <w:lvlText w:val="×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C0DBA"/>
    <w:multiLevelType w:val="hybridMultilevel"/>
    <w:tmpl w:val="A1248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55B4"/>
    <w:multiLevelType w:val="multilevel"/>
    <w:tmpl w:val="416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D1A66"/>
    <w:multiLevelType w:val="hybridMultilevel"/>
    <w:tmpl w:val="FD82EA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50C1B"/>
    <w:multiLevelType w:val="hybridMultilevel"/>
    <w:tmpl w:val="3FC27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B04AE"/>
    <w:multiLevelType w:val="hybridMultilevel"/>
    <w:tmpl w:val="235AB4D6"/>
    <w:lvl w:ilvl="0" w:tplc="2A205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0B0D"/>
    <w:multiLevelType w:val="hybridMultilevel"/>
    <w:tmpl w:val="4C082856"/>
    <w:lvl w:ilvl="0" w:tplc="822A23A0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872"/>
    <w:multiLevelType w:val="hybridMultilevel"/>
    <w:tmpl w:val="0E24DAE0"/>
    <w:lvl w:ilvl="0" w:tplc="7B5AA9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66C6"/>
    <w:multiLevelType w:val="hybridMultilevel"/>
    <w:tmpl w:val="689A49B6"/>
    <w:lvl w:ilvl="0" w:tplc="26F27B9A">
      <w:start w:val="1"/>
      <w:numFmt w:val="bullet"/>
      <w:lvlText w:val="×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1946"/>
    <w:multiLevelType w:val="hybridMultilevel"/>
    <w:tmpl w:val="A67A28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05445"/>
    <w:multiLevelType w:val="hybridMultilevel"/>
    <w:tmpl w:val="7A80EEC4"/>
    <w:lvl w:ilvl="0" w:tplc="85AEFE64">
      <w:start w:val="1"/>
      <w:numFmt w:val="bullet"/>
      <w:lvlText w:val=""/>
      <w:lvlJc w:val="left"/>
      <w:pPr>
        <w:ind w:left="1070" w:hanging="360"/>
      </w:pPr>
      <w:rPr>
        <w:rFonts w:ascii="Wingdings" w:eastAsia="Times New Roman" w:hAnsi="Wingdings" w:cstheme="minorHAnsi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D136F3B"/>
    <w:multiLevelType w:val="hybridMultilevel"/>
    <w:tmpl w:val="45F401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37C7"/>
    <w:multiLevelType w:val="hybridMultilevel"/>
    <w:tmpl w:val="19FC35E2"/>
    <w:lvl w:ilvl="0" w:tplc="87B233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2300"/>
    <w:multiLevelType w:val="hybridMultilevel"/>
    <w:tmpl w:val="C8DE802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19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8"/>
  </w:num>
  <w:num w:numId="15">
    <w:abstractNumId w:val="3"/>
  </w:num>
  <w:num w:numId="16">
    <w:abstractNumId w:val="5"/>
  </w:num>
  <w:num w:numId="17">
    <w:abstractNumId w:val="7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17"/>
  </w:num>
  <w:num w:numId="23">
    <w:abstractNumId w:val="1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B4"/>
    <w:rsid w:val="00027EFE"/>
    <w:rsid w:val="00034D48"/>
    <w:rsid w:val="00042ACC"/>
    <w:rsid w:val="00067643"/>
    <w:rsid w:val="00097608"/>
    <w:rsid w:val="000A0DC4"/>
    <w:rsid w:val="000B5B4F"/>
    <w:rsid w:val="000C17F7"/>
    <w:rsid w:val="000C7457"/>
    <w:rsid w:val="000E6A6A"/>
    <w:rsid w:val="001242E9"/>
    <w:rsid w:val="001321C5"/>
    <w:rsid w:val="00133863"/>
    <w:rsid w:val="00190851"/>
    <w:rsid w:val="00192641"/>
    <w:rsid w:val="001A1DFB"/>
    <w:rsid w:val="001B566F"/>
    <w:rsid w:val="001B5A19"/>
    <w:rsid w:val="001F771E"/>
    <w:rsid w:val="0023318F"/>
    <w:rsid w:val="00233EE9"/>
    <w:rsid w:val="00247E71"/>
    <w:rsid w:val="002563EC"/>
    <w:rsid w:val="002709FE"/>
    <w:rsid w:val="00273A7B"/>
    <w:rsid w:val="002841A8"/>
    <w:rsid w:val="002A5C59"/>
    <w:rsid w:val="002F3A94"/>
    <w:rsid w:val="003006D0"/>
    <w:rsid w:val="0032193D"/>
    <w:rsid w:val="00321B06"/>
    <w:rsid w:val="00330C4B"/>
    <w:rsid w:val="003364E0"/>
    <w:rsid w:val="00341AE7"/>
    <w:rsid w:val="00342368"/>
    <w:rsid w:val="003518E2"/>
    <w:rsid w:val="0038647A"/>
    <w:rsid w:val="003C0426"/>
    <w:rsid w:val="003F7630"/>
    <w:rsid w:val="00403549"/>
    <w:rsid w:val="004157D6"/>
    <w:rsid w:val="0042521E"/>
    <w:rsid w:val="004317EE"/>
    <w:rsid w:val="00441A50"/>
    <w:rsid w:val="00443729"/>
    <w:rsid w:val="00450504"/>
    <w:rsid w:val="00455D15"/>
    <w:rsid w:val="00464B47"/>
    <w:rsid w:val="00476F5C"/>
    <w:rsid w:val="00497350"/>
    <w:rsid w:val="004978F9"/>
    <w:rsid w:val="004C05BC"/>
    <w:rsid w:val="004D1802"/>
    <w:rsid w:val="004D289E"/>
    <w:rsid w:val="004E624B"/>
    <w:rsid w:val="004E730E"/>
    <w:rsid w:val="004F497A"/>
    <w:rsid w:val="00507302"/>
    <w:rsid w:val="0052460B"/>
    <w:rsid w:val="00531412"/>
    <w:rsid w:val="00534E18"/>
    <w:rsid w:val="005372C0"/>
    <w:rsid w:val="00565D24"/>
    <w:rsid w:val="00567DF3"/>
    <w:rsid w:val="005852CA"/>
    <w:rsid w:val="00585754"/>
    <w:rsid w:val="00591B1A"/>
    <w:rsid w:val="00596A7E"/>
    <w:rsid w:val="005B628E"/>
    <w:rsid w:val="005C5D2D"/>
    <w:rsid w:val="005D2351"/>
    <w:rsid w:val="005F46AE"/>
    <w:rsid w:val="005F58C3"/>
    <w:rsid w:val="00603A2C"/>
    <w:rsid w:val="00604EE8"/>
    <w:rsid w:val="00613620"/>
    <w:rsid w:val="006168FE"/>
    <w:rsid w:val="00617E9F"/>
    <w:rsid w:val="00637269"/>
    <w:rsid w:val="00663E35"/>
    <w:rsid w:val="00670113"/>
    <w:rsid w:val="00671BCD"/>
    <w:rsid w:val="00682577"/>
    <w:rsid w:val="00684590"/>
    <w:rsid w:val="00694104"/>
    <w:rsid w:val="00696671"/>
    <w:rsid w:val="00696E8D"/>
    <w:rsid w:val="006B3CAB"/>
    <w:rsid w:val="006C4DC2"/>
    <w:rsid w:val="006E0059"/>
    <w:rsid w:val="006E32A4"/>
    <w:rsid w:val="006E3D88"/>
    <w:rsid w:val="006F0303"/>
    <w:rsid w:val="006F5BB2"/>
    <w:rsid w:val="006F770F"/>
    <w:rsid w:val="007015F6"/>
    <w:rsid w:val="00733BDE"/>
    <w:rsid w:val="00736478"/>
    <w:rsid w:val="00743746"/>
    <w:rsid w:val="007458B1"/>
    <w:rsid w:val="0076076E"/>
    <w:rsid w:val="0076402C"/>
    <w:rsid w:val="0078071C"/>
    <w:rsid w:val="007815AB"/>
    <w:rsid w:val="007829B8"/>
    <w:rsid w:val="007943D7"/>
    <w:rsid w:val="007A4853"/>
    <w:rsid w:val="007B6B2B"/>
    <w:rsid w:val="007C054F"/>
    <w:rsid w:val="007C3433"/>
    <w:rsid w:val="007D3F45"/>
    <w:rsid w:val="007D5A44"/>
    <w:rsid w:val="007E16FA"/>
    <w:rsid w:val="007E612D"/>
    <w:rsid w:val="007F1163"/>
    <w:rsid w:val="007F6FE2"/>
    <w:rsid w:val="00801BF7"/>
    <w:rsid w:val="008056B4"/>
    <w:rsid w:val="00810E2E"/>
    <w:rsid w:val="0082383D"/>
    <w:rsid w:val="00826575"/>
    <w:rsid w:val="0083249C"/>
    <w:rsid w:val="00853E44"/>
    <w:rsid w:val="00874222"/>
    <w:rsid w:val="008870E6"/>
    <w:rsid w:val="008A0558"/>
    <w:rsid w:val="008A0FBF"/>
    <w:rsid w:val="008C1B6C"/>
    <w:rsid w:val="008C26D3"/>
    <w:rsid w:val="008F1D84"/>
    <w:rsid w:val="00912470"/>
    <w:rsid w:val="0095530A"/>
    <w:rsid w:val="00956EDF"/>
    <w:rsid w:val="009728B7"/>
    <w:rsid w:val="00981852"/>
    <w:rsid w:val="00986983"/>
    <w:rsid w:val="00992746"/>
    <w:rsid w:val="009C1555"/>
    <w:rsid w:val="009C3C1C"/>
    <w:rsid w:val="009D5911"/>
    <w:rsid w:val="009E3CFB"/>
    <w:rsid w:val="009E516D"/>
    <w:rsid w:val="009E7904"/>
    <w:rsid w:val="009F2830"/>
    <w:rsid w:val="00A00C90"/>
    <w:rsid w:val="00A550B6"/>
    <w:rsid w:val="00A63288"/>
    <w:rsid w:val="00A67E0C"/>
    <w:rsid w:val="00AA04F7"/>
    <w:rsid w:val="00AA2928"/>
    <w:rsid w:val="00AA7666"/>
    <w:rsid w:val="00AD0F5E"/>
    <w:rsid w:val="00B0264A"/>
    <w:rsid w:val="00B212F2"/>
    <w:rsid w:val="00B22E31"/>
    <w:rsid w:val="00B24C22"/>
    <w:rsid w:val="00B27C1D"/>
    <w:rsid w:val="00B47C01"/>
    <w:rsid w:val="00B51E86"/>
    <w:rsid w:val="00B568E4"/>
    <w:rsid w:val="00B75FAA"/>
    <w:rsid w:val="00B810A0"/>
    <w:rsid w:val="00B86CB5"/>
    <w:rsid w:val="00B97379"/>
    <w:rsid w:val="00BA6C9D"/>
    <w:rsid w:val="00BB28E1"/>
    <w:rsid w:val="00BE4D7A"/>
    <w:rsid w:val="00BE6841"/>
    <w:rsid w:val="00C27A6B"/>
    <w:rsid w:val="00C30333"/>
    <w:rsid w:val="00C31E45"/>
    <w:rsid w:val="00C32C28"/>
    <w:rsid w:val="00C44A86"/>
    <w:rsid w:val="00C605CB"/>
    <w:rsid w:val="00C7100C"/>
    <w:rsid w:val="00C7458C"/>
    <w:rsid w:val="00C801CC"/>
    <w:rsid w:val="00C80C72"/>
    <w:rsid w:val="00C83381"/>
    <w:rsid w:val="00C85695"/>
    <w:rsid w:val="00CA38C0"/>
    <w:rsid w:val="00CD67FC"/>
    <w:rsid w:val="00CE5E4D"/>
    <w:rsid w:val="00CF2888"/>
    <w:rsid w:val="00D06FF9"/>
    <w:rsid w:val="00D35CB3"/>
    <w:rsid w:val="00D73DEA"/>
    <w:rsid w:val="00D85A1C"/>
    <w:rsid w:val="00D97194"/>
    <w:rsid w:val="00DB74DD"/>
    <w:rsid w:val="00DC0B75"/>
    <w:rsid w:val="00DC35E5"/>
    <w:rsid w:val="00DE5607"/>
    <w:rsid w:val="00DF231C"/>
    <w:rsid w:val="00E04656"/>
    <w:rsid w:val="00E2097F"/>
    <w:rsid w:val="00E342DA"/>
    <w:rsid w:val="00E546CB"/>
    <w:rsid w:val="00E6301B"/>
    <w:rsid w:val="00EB0742"/>
    <w:rsid w:val="00EB20B3"/>
    <w:rsid w:val="00EB2BDC"/>
    <w:rsid w:val="00EB66DB"/>
    <w:rsid w:val="00EC39E6"/>
    <w:rsid w:val="00ED18DD"/>
    <w:rsid w:val="00ED6C17"/>
    <w:rsid w:val="00EE6D11"/>
    <w:rsid w:val="00F002FD"/>
    <w:rsid w:val="00F0478A"/>
    <w:rsid w:val="00F048CC"/>
    <w:rsid w:val="00F21EA7"/>
    <w:rsid w:val="00F53178"/>
    <w:rsid w:val="00F716B7"/>
    <w:rsid w:val="00FA7C4B"/>
    <w:rsid w:val="00FC00CC"/>
    <w:rsid w:val="00FE1F17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D92"/>
  <w15:chartTrackingRefBased/>
  <w15:docId w15:val="{1A94BAC3-ED12-48E2-BD90-216CA0E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B4"/>
    <w:pPr>
      <w:spacing w:line="256" w:lineRule="auto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Lienhypertexte">
    <w:name w:val="Hyperlink"/>
    <w:basedOn w:val="Policepardfaut"/>
    <w:uiPriority w:val="99"/>
    <w:unhideWhenUsed/>
    <w:rsid w:val="005B628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62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628E"/>
    <w:rPr>
      <w:sz w:val="20"/>
      <w:szCs w:val="20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B628E"/>
  </w:style>
  <w:style w:type="paragraph" w:styleId="Paragraphedeliste">
    <w:name w:val="List Paragraph"/>
    <w:basedOn w:val="Normal"/>
    <w:link w:val="ParagraphedelisteCar"/>
    <w:uiPriority w:val="34"/>
    <w:qFormat/>
    <w:rsid w:val="005B628E"/>
    <w:pPr>
      <w:ind w:left="720"/>
      <w:contextualSpacing/>
    </w:pPr>
    <w:rPr>
      <w:lang w:val="fr-BE"/>
    </w:rPr>
  </w:style>
  <w:style w:type="character" w:customStyle="1" w:styleId="Style2Car">
    <w:name w:val="Style2 Car"/>
    <w:basedOn w:val="ParagraphedelisteCar"/>
    <w:link w:val="Style2"/>
    <w:locked/>
    <w:rsid w:val="007F6FE2"/>
    <w:rPr>
      <w:rFonts w:eastAsia="Times New Roman" w:cstheme="minorHAnsi"/>
      <w:bCs/>
      <w:sz w:val="24"/>
      <w:szCs w:val="24"/>
      <w:lang w:eastAsia="nl-BE"/>
    </w:rPr>
  </w:style>
  <w:style w:type="paragraph" w:customStyle="1" w:styleId="Style2">
    <w:name w:val="Style2"/>
    <w:basedOn w:val="Paragraphedeliste"/>
    <w:link w:val="Style2Car"/>
    <w:autoRedefine/>
    <w:qFormat/>
    <w:rsid w:val="007F6FE2"/>
    <w:pPr>
      <w:numPr>
        <w:numId w:val="24"/>
      </w:numPr>
      <w:contextualSpacing w:val="0"/>
      <w:jc w:val="both"/>
    </w:pPr>
    <w:rPr>
      <w:rFonts w:eastAsia="Times New Roman" w:cstheme="minorHAnsi"/>
      <w:bCs/>
      <w:sz w:val="24"/>
      <w:szCs w:val="24"/>
      <w:lang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5B628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3386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B0742"/>
    <w:pPr>
      <w:spacing w:after="0" w:line="240" w:lineRule="auto"/>
    </w:pPr>
    <w:rPr>
      <w:lang w:val="nl-BE"/>
    </w:rPr>
  </w:style>
  <w:style w:type="paragraph" w:styleId="En-tte">
    <w:name w:val="header"/>
    <w:basedOn w:val="Normal"/>
    <w:link w:val="En-tteCar"/>
    <w:uiPriority w:val="99"/>
    <w:unhideWhenUsed/>
    <w:rsid w:val="006F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303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6F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303"/>
    <w:rPr>
      <w:lang w:val="nl-BE"/>
    </w:rPr>
  </w:style>
  <w:style w:type="paragraph" w:styleId="Corpsdetexte">
    <w:name w:val="Body Text"/>
    <w:basedOn w:val="Normal"/>
    <w:link w:val="CorpsdetexteCar"/>
    <w:uiPriority w:val="1"/>
    <w:qFormat/>
    <w:rsid w:val="006845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84590"/>
    <w:rPr>
      <w:rFonts w:ascii="Calibri" w:eastAsia="Calibri" w:hAnsi="Calibri" w:cs="Calibri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68459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83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3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3381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381"/>
    <w:rPr>
      <w:b/>
      <w:bCs/>
      <w:sz w:val="20"/>
      <w:szCs w:val="20"/>
      <w:lang w:val="nl-BE"/>
    </w:rPr>
  </w:style>
  <w:style w:type="paragraph" w:customStyle="1" w:styleId="TableParagraph">
    <w:name w:val="Table Paragraph"/>
    <w:basedOn w:val="Normal"/>
    <w:uiPriority w:val="1"/>
    <w:qFormat/>
    <w:rsid w:val="004978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fr-FR"/>
    </w:rPr>
  </w:style>
  <w:style w:type="table" w:customStyle="1" w:styleId="TableNormal1">
    <w:name w:val="Table Normal1"/>
    <w:uiPriority w:val="2"/>
    <w:semiHidden/>
    <w:unhideWhenUsed/>
    <w:qFormat/>
    <w:rsid w:val="0049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C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-ic.org/fr/secteurs-prives-cp-330/brux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367BD4-D664-4623-AC0E-8A9269B6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2162</Words>
  <Characters>11894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HUBIN</dc:creator>
  <cp:keywords/>
  <dc:description/>
  <cp:lastModifiedBy>Michèle HUBIN</cp:lastModifiedBy>
  <cp:revision>7</cp:revision>
  <dcterms:created xsi:type="dcterms:W3CDTF">2022-06-03T11:30:00Z</dcterms:created>
  <dcterms:modified xsi:type="dcterms:W3CDTF">2022-06-07T09:21:00Z</dcterms:modified>
</cp:coreProperties>
</file>