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4" w:rsidRPr="003261E4" w:rsidRDefault="003261E4" w:rsidP="003261E4">
      <w:pPr>
        <w:pBdr>
          <w:bottom w:val="single" w:sz="4" w:space="1" w:color="808080" w:themeColor="background1" w:themeShade="80"/>
        </w:pBdr>
        <w:rPr>
          <w:rFonts w:asciiTheme="majorHAnsi" w:hAnsiTheme="majorHAnsi" w:cstheme="majorHAnsi"/>
          <w:color w:val="808080" w:themeColor="background1" w:themeShade="80"/>
          <w:sz w:val="21"/>
          <w:szCs w:val="21"/>
        </w:rPr>
      </w:pPr>
      <w:r w:rsidRPr="003261E4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>Classification de fonctions – CP 330 – CCT du 31/03/2021</w:t>
      </w:r>
    </w:p>
    <w:p w:rsidR="003261E4" w:rsidRPr="003261E4" w:rsidRDefault="003261E4" w:rsidP="003261E4">
      <w:pPr>
        <w:jc w:val="both"/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</w:pPr>
      <w:r w:rsidRPr="003261E4"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  <w:t xml:space="preserve">MODÈLE : communication </w:t>
      </w:r>
      <w:r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  <w:t>générale</w:t>
      </w:r>
      <w:r w:rsidRPr="003261E4"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  <w:t xml:space="preserve"> destinée </w:t>
      </w:r>
      <w:r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  <w:t xml:space="preserve">à l’ensemble des travailleurs concernant la mise à jour des fonctions de référence sectorielle IFIC (mise à jour 2021). </w:t>
      </w:r>
      <w:r w:rsidRPr="003261E4">
        <w:rPr>
          <w:rFonts w:asciiTheme="majorHAnsi" w:hAnsiTheme="majorHAnsi" w:cstheme="majorHAnsi"/>
          <w:b/>
          <w:color w:val="215868" w:themeColor="accent5" w:themeShade="80"/>
          <w:sz w:val="32"/>
          <w:szCs w:val="32"/>
        </w:rPr>
        <w:t xml:space="preserve"> </w:t>
      </w:r>
    </w:p>
    <w:p w:rsidR="00221911" w:rsidRPr="00E00094" w:rsidRDefault="00221911" w:rsidP="000C36D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16"/>
          <w:szCs w:val="16"/>
        </w:rPr>
      </w:pPr>
    </w:p>
    <w:p w:rsidR="00221911" w:rsidRDefault="00221911" w:rsidP="000960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mallCaps/>
          <w:sz w:val="28"/>
          <w:szCs w:val="28"/>
        </w:rPr>
      </w:pPr>
      <w:r w:rsidRPr="0081177E">
        <w:rPr>
          <w:rFonts w:asciiTheme="majorHAnsi" w:hAnsiTheme="majorHAnsi" w:cs="Calibri"/>
          <w:smallCaps/>
          <w:sz w:val="28"/>
          <w:szCs w:val="28"/>
          <w:u w:val="single"/>
        </w:rPr>
        <w:t>Concerne :</w:t>
      </w:r>
      <w:r w:rsidRPr="0081177E">
        <w:rPr>
          <w:rFonts w:asciiTheme="majorHAnsi" w:hAnsiTheme="majorHAnsi" w:cs="Calibri"/>
          <w:smallCaps/>
          <w:sz w:val="28"/>
          <w:szCs w:val="28"/>
        </w:rPr>
        <w:t xml:space="preserve"> </w:t>
      </w:r>
      <w:r w:rsidR="003261E4">
        <w:rPr>
          <w:rFonts w:asciiTheme="majorHAnsi" w:hAnsiTheme="majorHAnsi" w:cs="Calibri"/>
          <w:smallCaps/>
          <w:sz w:val="28"/>
          <w:szCs w:val="28"/>
        </w:rPr>
        <w:tab/>
      </w:r>
      <w:r w:rsidR="003261E4" w:rsidRPr="003261E4">
        <w:rPr>
          <w:rFonts w:asciiTheme="majorHAnsi" w:hAnsiTheme="majorHAnsi" w:cs="Calibri"/>
          <w:b/>
          <w:smallCaps/>
          <w:sz w:val="28"/>
          <w:szCs w:val="28"/>
        </w:rPr>
        <w:t>Entretien périodique de la classification de fonctions</w:t>
      </w:r>
      <w:r w:rsidR="00CE76E5">
        <w:rPr>
          <w:rFonts w:asciiTheme="majorHAnsi" w:hAnsiTheme="majorHAnsi" w:cs="Calibri"/>
          <w:b/>
          <w:smallCaps/>
          <w:sz w:val="28"/>
          <w:szCs w:val="28"/>
        </w:rPr>
        <w:t> </w:t>
      </w:r>
      <w:r w:rsidR="00CE76E5" w:rsidRPr="00096096">
        <w:rPr>
          <w:rFonts w:asciiTheme="majorHAnsi" w:hAnsiTheme="majorHAnsi" w:cs="Calibri"/>
          <w:b/>
          <w:smallCaps/>
          <w:sz w:val="28"/>
          <w:szCs w:val="28"/>
        </w:rPr>
        <w:t>: m</w:t>
      </w:r>
      <w:r w:rsidRPr="00096096">
        <w:rPr>
          <w:rFonts w:asciiTheme="majorHAnsi" w:hAnsiTheme="majorHAnsi" w:cs="Calibri"/>
          <w:b/>
          <w:smallCaps/>
          <w:sz w:val="28"/>
          <w:szCs w:val="28"/>
        </w:rPr>
        <w:t xml:space="preserve">ise à jour </w:t>
      </w:r>
      <w:r w:rsidR="0081177E" w:rsidRPr="00096096">
        <w:rPr>
          <w:rFonts w:asciiTheme="majorHAnsi" w:hAnsiTheme="majorHAnsi" w:cs="Calibri"/>
          <w:b/>
          <w:smallCaps/>
          <w:sz w:val="28"/>
          <w:szCs w:val="28"/>
        </w:rPr>
        <w:t>2</w:t>
      </w:r>
      <w:r w:rsidRPr="00096096">
        <w:rPr>
          <w:rFonts w:asciiTheme="majorHAnsi" w:hAnsiTheme="majorHAnsi" w:cs="Calibri"/>
          <w:b/>
          <w:smallCaps/>
          <w:sz w:val="28"/>
          <w:szCs w:val="28"/>
        </w:rPr>
        <w:t xml:space="preserve">021 </w:t>
      </w:r>
    </w:p>
    <w:p w:rsidR="00CE76E5" w:rsidRPr="00096096" w:rsidRDefault="00CE76E5" w:rsidP="00096096">
      <w:pPr>
        <w:widowControl w:val="0"/>
        <w:autoSpaceDE w:val="0"/>
        <w:autoSpaceDN w:val="0"/>
        <w:adjustRightInd w:val="0"/>
        <w:ind w:left="1418"/>
        <w:rPr>
          <w:rFonts w:asciiTheme="majorHAnsi" w:hAnsiTheme="majorHAnsi" w:cs="Calibri"/>
          <w:b/>
          <w:smallCaps/>
          <w:sz w:val="28"/>
          <w:szCs w:val="28"/>
        </w:rPr>
      </w:pPr>
      <w:r>
        <w:rPr>
          <w:rFonts w:asciiTheme="majorHAnsi" w:hAnsiTheme="majorHAnsi" w:cs="Calibri"/>
          <w:b/>
          <w:smallCaps/>
          <w:sz w:val="28"/>
          <w:szCs w:val="28"/>
        </w:rPr>
        <w:t>Communication générale à l’ensemble des travailleurs</w:t>
      </w:r>
    </w:p>
    <w:p w:rsidR="00221911" w:rsidRPr="00E00094" w:rsidRDefault="00221911" w:rsidP="0022191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16"/>
          <w:szCs w:val="16"/>
        </w:rPr>
      </w:pPr>
    </w:p>
    <w:p w:rsidR="000C36DE" w:rsidRPr="000C36DE" w:rsidRDefault="000C36DE" w:rsidP="000C36DE">
      <w:pPr>
        <w:rPr>
          <w:rFonts w:asciiTheme="majorHAnsi" w:hAnsiTheme="majorHAnsi" w:cstheme="majorHAnsi"/>
          <w:sz w:val="21"/>
          <w:szCs w:val="21"/>
        </w:rPr>
      </w:pPr>
      <w:r w:rsidRPr="000C36DE">
        <w:rPr>
          <w:rFonts w:asciiTheme="majorHAnsi" w:hAnsiTheme="majorHAnsi" w:cstheme="majorHAnsi"/>
          <w:sz w:val="21"/>
          <w:szCs w:val="21"/>
        </w:rPr>
        <w:t>Chers(ères) collaborateurs(</w:t>
      </w:r>
      <w:proofErr w:type="spellStart"/>
      <w:r w:rsidRPr="000C36DE">
        <w:rPr>
          <w:rFonts w:asciiTheme="majorHAnsi" w:hAnsiTheme="majorHAnsi" w:cstheme="majorHAnsi"/>
          <w:sz w:val="21"/>
          <w:szCs w:val="21"/>
        </w:rPr>
        <w:t>trices</w:t>
      </w:r>
      <w:proofErr w:type="spellEnd"/>
      <w:r w:rsidRPr="000C36DE">
        <w:rPr>
          <w:rFonts w:asciiTheme="majorHAnsi" w:hAnsiTheme="majorHAnsi" w:cstheme="majorHAnsi"/>
          <w:sz w:val="21"/>
          <w:szCs w:val="21"/>
        </w:rPr>
        <w:t>),</w:t>
      </w:r>
    </w:p>
    <w:p w:rsidR="000C36DE" w:rsidRPr="00F8317F" w:rsidRDefault="000C36DE" w:rsidP="000C36DE">
      <w:pPr>
        <w:rPr>
          <w:sz w:val="21"/>
          <w:szCs w:val="21"/>
        </w:rPr>
      </w:pPr>
    </w:p>
    <w:p w:rsidR="008955F9" w:rsidRDefault="008955F9" w:rsidP="003261E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</w:rPr>
      </w:pPr>
      <w:r w:rsidRPr="00221911">
        <w:rPr>
          <w:rFonts w:asciiTheme="majorHAnsi" w:hAnsiTheme="majorHAnsi" w:cs="Calibri"/>
          <w:sz w:val="22"/>
          <w:szCs w:val="22"/>
        </w:rPr>
        <w:t>La classification de fonctions</w:t>
      </w:r>
      <w:r>
        <w:rPr>
          <w:rFonts w:asciiTheme="majorHAnsi" w:hAnsiTheme="majorHAnsi" w:cs="Calibri"/>
          <w:sz w:val="22"/>
          <w:szCs w:val="22"/>
        </w:rPr>
        <w:t xml:space="preserve"> sectorielles IFIC est</w:t>
      </w:r>
      <w:r w:rsidR="0071721A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évolutive</w:t>
      </w:r>
      <w:r w:rsidRPr="008955F9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et les fonctions sont remises à jour périodiquement</w:t>
      </w:r>
      <w:r w:rsidR="00CE76E5">
        <w:rPr>
          <w:rFonts w:asciiTheme="majorHAnsi" w:hAnsiTheme="majorHAnsi" w:cs="Calibri"/>
          <w:sz w:val="22"/>
          <w:szCs w:val="22"/>
        </w:rPr>
        <w:t> :</w:t>
      </w:r>
      <w:r>
        <w:rPr>
          <w:rFonts w:asciiTheme="majorHAnsi" w:hAnsiTheme="majorHAnsi" w:cs="Calibri"/>
          <w:sz w:val="22"/>
          <w:szCs w:val="22"/>
        </w:rPr>
        <w:t xml:space="preserve"> c</w:t>
      </w:r>
      <w:r w:rsidRPr="00221911">
        <w:rPr>
          <w:rFonts w:asciiTheme="majorHAnsi" w:hAnsiTheme="majorHAnsi" w:cs="Calibri"/>
          <w:sz w:val="22"/>
          <w:szCs w:val="22"/>
        </w:rPr>
        <w:t>ertaines fonctions peuvent être ajoutées à la classification, d’autres peuvent être supprimées; certains titres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221911">
        <w:rPr>
          <w:rFonts w:asciiTheme="majorHAnsi" w:hAnsiTheme="majorHAnsi" w:cs="Calibri"/>
          <w:sz w:val="22"/>
          <w:szCs w:val="22"/>
        </w:rPr>
        <w:t>de fonctions peuvent également être modifiés</w:t>
      </w:r>
      <w:r w:rsidR="0071721A">
        <w:rPr>
          <w:rFonts w:asciiTheme="majorHAnsi" w:hAnsiTheme="majorHAnsi" w:cs="Calibri"/>
          <w:sz w:val="22"/>
          <w:szCs w:val="22"/>
        </w:rPr>
        <w:t xml:space="preserve"> (tout comme leur contenu</w:t>
      </w:r>
      <w:r>
        <w:rPr>
          <w:rFonts w:asciiTheme="majorHAnsi" w:hAnsiTheme="majorHAnsi" w:cs="Calibri"/>
          <w:sz w:val="22"/>
          <w:szCs w:val="22"/>
        </w:rPr>
        <w:t>)</w:t>
      </w:r>
      <w:r w:rsidRPr="00221911">
        <w:rPr>
          <w:rFonts w:asciiTheme="majorHAnsi" w:hAnsiTheme="majorHAnsi" w:cs="Calibri"/>
          <w:sz w:val="22"/>
          <w:szCs w:val="22"/>
        </w:rPr>
        <w:t xml:space="preserve">. </w:t>
      </w:r>
      <w:r w:rsidR="00CE76E5">
        <w:rPr>
          <w:rFonts w:asciiTheme="majorHAnsi" w:hAnsiTheme="majorHAnsi" w:cs="Calibri"/>
          <w:sz w:val="22"/>
          <w:szCs w:val="22"/>
        </w:rPr>
        <w:t>Ce processus est ce qu’on appelle « l’entretien » de la classification.</w:t>
      </w:r>
    </w:p>
    <w:p w:rsidR="00CE76E5" w:rsidRDefault="00CE76E5" w:rsidP="00CE76E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Dans le cadre de ce processus d’entretien, la classification de fonctions vient d’être actualisée. </w:t>
      </w:r>
      <w:r w:rsidRPr="00221911">
        <w:rPr>
          <w:rFonts w:asciiTheme="majorHAnsi" w:hAnsiTheme="majorHAnsi" w:cs="Calibri"/>
          <w:sz w:val="22"/>
          <w:szCs w:val="22"/>
        </w:rPr>
        <w:t>L’éventail</w:t>
      </w:r>
      <w:r>
        <w:rPr>
          <w:rFonts w:asciiTheme="majorHAnsi" w:hAnsiTheme="majorHAnsi" w:cs="Calibri"/>
          <w:sz w:val="22"/>
          <w:szCs w:val="22"/>
        </w:rPr>
        <w:t xml:space="preserve"> des fonctions de référence sectorielles IFIC</w:t>
      </w:r>
      <w:r w:rsidRPr="00221911">
        <w:rPr>
          <w:rFonts w:asciiTheme="majorHAnsi" w:hAnsiTheme="majorHAnsi" w:cs="Calibri"/>
          <w:sz w:val="22"/>
          <w:szCs w:val="22"/>
        </w:rPr>
        <w:t xml:space="preserve"> propose </w:t>
      </w:r>
      <w:r>
        <w:rPr>
          <w:rFonts w:asciiTheme="majorHAnsi" w:hAnsiTheme="majorHAnsi" w:cs="Calibri"/>
          <w:sz w:val="22"/>
          <w:szCs w:val="22"/>
        </w:rPr>
        <w:t xml:space="preserve">actuellement </w:t>
      </w:r>
      <w:r w:rsidRPr="00221911">
        <w:rPr>
          <w:rFonts w:asciiTheme="majorHAnsi" w:hAnsiTheme="majorHAnsi" w:cs="Calibri"/>
          <w:sz w:val="22"/>
          <w:szCs w:val="22"/>
        </w:rPr>
        <w:t xml:space="preserve">221 titres de fonctions répartis en </w:t>
      </w:r>
      <w:r>
        <w:rPr>
          <w:rFonts w:asciiTheme="majorHAnsi" w:hAnsiTheme="majorHAnsi" w:cs="Calibri"/>
          <w:sz w:val="22"/>
          <w:szCs w:val="22"/>
        </w:rPr>
        <w:t>6</w:t>
      </w:r>
      <w:r w:rsidRPr="00221911">
        <w:rPr>
          <w:rFonts w:asciiTheme="majorHAnsi" w:hAnsiTheme="majorHAnsi" w:cs="Calibri"/>
          <w:sz w:val="22"/>
          <w:szCs w:val="22"/>
        </w:rPr>
        <w:t xml:space="preserve"> départements et 14 familles, et rangés selon la catégorie de la fonction correspondante. 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:rsidR="00CE76E5" w:rsidRDefault="00CE76E5" w:rsidP="00CE76E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</w:rPr>
      </w:pPr>
      <w:r w:rsidRPr="00096096">
        <w:rPr>
          <w:rFonts w:asciiTheme="majorHAnsi" w:hAnsiTheme="majorHAnsi" w:cs="Calibri"/>
          <w:b/>
          <w:i/>
          <w:smallCaps/>
          <w:sz w:val="28"/>
          <w:szCs w:val="28"/>
        </w:rPr>
        <w:t>Quelles fonctions de référence ont été entretenues ou ajoutées</w:t>
      </w:r>
      <w:r>
        <w:rPr>
          <w:rFonts w:asciiTheme="majorHAnsi" w:hAnsiTheme="majorHAnsi" w:cs="Calibri"/>
          <w:b/>
          <w:i/>
          <w:smallCaps/>
          <w:sz w:val="28"/>
          <w:szCs w:val="28"/>
        </w:rPr>
        <w:t xml:space="preserve"> à la classification</w:t>
      </w:r>
      <w:r w:rsidRPr="00096096">
        <w:rPr>
          <w:rFonts w:asciiTheme="majorHAnsi" w:hAnsiTheme="majorHAnsi" w:cs="Calibri"/>
          <w:b/>
          <w:i/>
          <w:smallCaps/>
          <w:sz w:val="28"/>
          <w:szCs w:val="28"/>
        </w:rPr>
        <w:t> ?</w:t>
      </w:r>
    </w:p>
    <w:p w:rsidR="00CE76E5" w:rsidRDefault="00CE76E5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Comme prévu par la CCT du 31 mars 2021 conclue en CP 330</w:t>
      </w:r>
      <w:r w:rsidR="00A935C2">
        <w:rPr>
          <w:rStyle w:val="Voetnootmarkering"/>
          <w:rFonts w:asciiTheme="majorHAnsi" w:hAnsiTheme="majorHAnsi" w:cs="Calibri"/>
          <w:sz w:val="22"/>
          <w:szCs w:val="22"/>
        </w:rPr>
        <w:footnoteReference w:id="1"/>
      </w:r>
      <w:r>
        <w:rPr>
          <w:rFonts w:asciiTheme="majorHAnsi" w:hAnsiTheme="majorHAnsi" w:cs="Calibri"/>
          <w:sz w:val="22"/>
          <w:szCs w:val="22"/>
        </w:rPr>
        <w:t xml:space="preserve">, nous </w:t>
      </w:r>
      <w:r w:rsidRPr="00221911">
        <w:rPr>
          <w:rFonts w:asciiTheme="majorHAnsi" w:hAnsiTheme="majorHAnsi" w:cs="Calibri"/>
          <w:sz w:val="22"/>
          <w:szCs w:val="22"/>
        </w:rPr>
        <w:t xml:space="preserve">vous </w:t>
      </w:r>
      <w:r>
        <w:rPr>
          <w:rFonts w:asciiTheme="majorHAnsi" w:hAnsiTheme="majorHAnsi" w:cs="Calibri"/>
          <w:sz w:val="22"/>
          <w:szCs w:val="22"/>
        </w:rPr>
        <w:t>communiquons</w:t>
      </w:r>
      <w:r w:rsidRPr="00221911">
        <w:rPr>
          <w:rFonts w:asciiTheme="majorHAnsi" w:hAnsiTheme="majorHAnsi" w:cs="Calibri"/>
          <w:sz w:val="22"/>
          <w:szCs w:val="22"/>
        </w:rPr>
        <w:t xml:space="preserve"> ci-joint </w:t>
      </w:r>
      <w:r>
        <w:rPr>
          <w:rFonts w:asciiTheme="majorHAnsi" w:hAnsiTheme="majorHAnsi" w:cs="Calibri"/>
          <w:sz w:val="22"/>
          <w:szCs w:val="22"/>
        </w:rPr>
        <w:t xml:space="preserve">la liste des fonctions sectorielles entretenues en </w:t>
      </w:r>
      <w:r w:rsidRPr="00221911">
        <w:rPr>
          <w:rFonts w:asciiTheme="majorHAnsi" w:hAnsiTheme="majorHAnsi" w:cs="Calibri"/>
          <w:sz w:val="22"/>
          <w:szCs w:val="22"/>
        </w:rPr>
        <w:t>2021</w:t>
      </w:r>
      <w:r>
        <w:rPr>
          <w:rFonts w:asciiTheme="majorHAnsi" w:hAnsiTheme="majorHAnsi" w:cs="Calibri"/>
          <w:sz w:val="22"/>
          <w:szCs w:val="22"/>
        </w:rPr>
        <w:t xml:space="preserve">. </w:t>
      </w:r>
    </w:p>
    <w:p w:rsidR="00CE76E5" w:rsidRDefault="00CE76E5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:rsidR="000C36DE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C36DE">
        <w:rPr>
          <w:rFonts w:asciiTheme="majorHAnsi" w:hAnsiTheme="majorHAnsi" w:cs="Calibri"/>
          <w:b/>
          <w:i/>
          <w:sz w:val="22"/>
          <w:szCs w:val="22"/>
        </w:rPr>
        <w:t>COMMENT CONSULTER LES FONCTIONS </w:t>
      </w:r>
      <w:r>
        <w:rPr>
          <w:rFonts w:asciiTheme="majorHAnsi" w:hAnsiTheme="majorHAnsi" w:cs="Calibri"/>
          <w:b/>
          <w:i/>
          <w:sz w:val="22"/>
          <w:szCs w:val="22"/>
        </w:rPr>
        <w:t xml:space="preserve">ENTRETENUES (NOUVELLES FONCTIONS OU MISES A JOUR) </w:t>
      </w:r>
      <w:r w:rsidRPr="000C36DE">
        <w:rPr>
          <w:rFonts w:asciiTheme="majorHAnsi" w:hAnsiTheme="majorHAnsi" w:cs="Calibri"/>
          <w:b/>
          <w:i/>
          <w:sz w:val="22"/>
          <w:szCs w:val="22"/>
        </w:rPr>
        <w:t xml:space="preserve">? </w:t>
      </w:r>
    </w:p>
    <w:p w:rsidR="000C36DE" w:rsidRPr="00E00094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z w:val="16"/>
          <w:szCs w:val="16"/>
        </w:rPr>
      </w:pPr>
    </w:p>
    <w:p w:rsidR="008955F9" w:rsidRDefault="008955F9" w:rsidP="008955F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</w:rPr>
        <w:t xml:space="preserve">Vous retrouverez l’ensemble des fonctions sectorielles </w:t>
      </w:r>
      <w:r w:rsidR="008E0CC1">
        <w:rPr>
          <w:rFonts w:asciiTheme="majorHAnsi" w:hAnsiTheme="majorHAnsi" w:cs="Calibri"/>
          <w:sz w:val="22"/>
          <w:szCs w:val="22"/>
        </w:rPr>
        <w:t xml:space="preserve">dont les fonctions </w:t>
      </w:r>
      <w:r>
        <w:rPr>
          <w:rFonts w:asciiTheme="majorHAnsi" w:hAnsiTheme="majorHAnsi" w:cs="Calibri"/>
          <w:sz w:val="22"/>
          <w:szCs w:val="22"/>
        </w:rPr>
        <w:t>mises à jour en ligne sur le</w:t>
      </w:r>
      <w:r w:rsidRPr="008955F9">
        <w:rPr>
          <w:rFonts w:asciiTheme="majorHAnsi" w:hAnsiTheme="majorHAnsi" w:cs="Calibri"/>
          <w:sz w:val="22"/>
          <w:szCs w:val="22"/>
          <w:lang w:val="fr-BE"/>
        </w:rPr>
        <w:t xml:space="preserve"> site web </w:t>
      </w:r>
      <w:r>
        <w:rPr>
          <w:rFonts w:asciiTheme="majorHAnsi" w:hAnsiTheme="majorHAnsi" w:cs="Calibri"/>
          <w:sz w:val="22"/>
          <w:szCs w:val="22"/>
          <w:lang w:val="fr-BE"/>
        </w:rPr>
        <w:t>de l’IFIC</w:t>
      </w:r>
      <w:r w:rsidRPr="008955F9">
        <w:rPr>
          <w:rFonts w:asciiTheme="majorHAnsi" w:hAnsiTheme="majorHAnsi" w:cs="Calibri"/>
          <w:sz w:val="22"/>
          <w:szCs w:val="22"/>
          <w:lang w:val="fr-BE"/>
        </w:rPr>
        <w:t xml:space="preserve">: </w:t>
      </w:r>
      <w:hyperlink r:id="rId8" w:history="1">
        <w:r w:rsidRPr="00E93192">
          <w:rPr>
            <w:rStyle w:val="Hyperlink"/>
            <w:rFonts w:asciiTheme="majorHAnsi" w:hAnsiTheme="majorHAnsi" w:cs="Calibri"/>
            <w:sz w:val="22"/>
            <w:szCs w:val="22"/>
            <w:lang w:val="fr-BE"/>
          </w:rPr>
          <w:t>https://www.if-ic.org/fr/secteurs-concernes/soins-de-sante-prives-federaux-cp-330/eventail-de-fonctions</w:t>
        </w:r>
      </w:hyperlink>
    </w:p>
    <w:p w:rsidR="00B71386" w:rsidRPr="0016074D" w:rsidRDefault="008955F9" w:rsidP="0022191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N</w:t>
      </w:r>
      <w:proofErr w:type="spellStart"/>
      <w:r w:rsidR="00B71386" w:rsidRPr="00221911">
        <w:rPr>
          <w:rFonts w:asciiTheme="majorHAnsi" w:hAnsiTheme="majorHAnsi" w:cs="Calibri"/>
          <w:sz w:val="22"/>
          <w:szCs w:val="22"/>
        </w:rPr>
        <w:t>ous</w:t>
      </w:r>
      <w:proofErr w:type="spellEnd"/>
      <w:r w:rsidR="00B71386">
        <w:rPr>
          <w:rFonts w:asciiTheme="majorHAnsi" w:hAnsiTheme="majorHAnsi" w:cs="Calibri"/>
          <w:sz w:val="22"/>
          <w:szCs w:val="22"/>
        </w:rPr>
        <w:t xml:space="preserve"> tenons à</w:t>
      </w:r>
      <w:r w:rsidR="00B71386" w:rsidRPr="00221911">
        <w:rPr>
          <w:rFonts w:asciiTheme="majorHAnsi" w:hAnsiTheme="majorHAnsi" w:cs="Calibri"/>
          <w:sz w:val="22"/>
          <w:szCs w:val="22"/>
        </w:rPr>
        <w:t xml:space="preserve"> rappel</w:t>
      </w:r>
      <w:r w:rsidR="00B71386">
        <w:rPr>
          <w:rFonts w:asciiTheme="majorHAnsi" w:hAnsiTheme="majorHAnsi" w:cs="Calibri"/>
          <w:sz w:val="22"/>
          <w:szCs w:val="22"/>
        </w:rPr>
        <w:t>er</w:t>
      </w:r>
      <w:r w:rsidR="00B71386" w:rsidRPr="00221911">
        <w:rPr>
          <w:rFonts w:asciiTheme="majorHAnsi" w:hAnsiTheme="majorHAnsi" w:cs="Calibri"/>
          <w:sz w:val="22"/>
          <w:szCs w:val="22"/>
        </w:rPr>
        <w:t xml:space="preserve"> que les fonctions IFIC constituent des fonctions de référence sectorielle</w:t>
      </w:r>
      <w:r w:rsidR="00B71386">
        <w:rPr>
          <w:rFonts w:asciiTheme="majorHAnsi" w:hAnsiTheme="majorHAnsi" w:cs="Calibri"/>
          <w:sz w:val="22"/>
          <w:szCs w:val="22"/>
        </w:rPr>
        <w:t>s</w:t>
      </w:r>
      <w:r w:rsidR="00B71386" w:rsidRPr="00221911">
        <w:rPr>
          <w:rFonts w:asciiTheme="majorHAnsi" w:hAnsiTheme="majorHAnsi" w:cs="Calibri"/>
          <w:sz w:val="22"/>
          <w:szCs w:val="22"/>
        </w:rPr>
        <w:t xml:space="preserve"> qui servent </w:t>
      </w:r>
      <w:r w:rsidR="00F824E6">
        <w:rPr>
          <w:rFonts w:asciiTheme="majorHAnsi" w:hAnsiTheme="majorHAnsi" w:cs="Calibri"/>
          <w:sz w:val="22"/>
          <w:szCs w:val="22"/>
        </w:rPr>
        <w:t xml:space="preserve">à </w:t>
      </w:r>
      <w:r w:rsidR="00B71386">
        <w:rPr>
          <w:rFonts w:asciiTheme="majorHAnsi" w:hAnsiTheme="majorHAnsi" w:cs="Calibri"/>
          <w:sz w:val="22"/>
          <w:szCs w:val="22"/>
        </w:rPr>
        <w:t xml:space="preserve">déterminer la rémunération sectorielle d’application aux travailleurs. </w:t>
      </w:r>
      <w:r w:rsidR="00523001">
        <w:rPr>
          <w:rFonts w:asciiTheme="majorHAnsi" w:hAnsiTheme="majorHAnsi" w:cs="Calibri"/>
          <w:sz w:val="22"/>
          <w:szCs w:val="22"/>
          <w:lang w:val="fr-BE"/>
        </w:rPr>
        <w:t xml:space="preserve">Elles n’ont pas pour vocation de proposer une définition des professions (qui reste la prérogative des instances compétentes en la matière). </w:t>
      </w:r>
      <w:r w:rsidR="00B71386">
        <w:rPr>
          <w:rFonts w:asciiTheme="majorHAnsi" w:hAnsiTheme="majorHAnsi" w:cs="Calibri"/>
          <w:sz w:val="22"/>
          <w:szCs w:val="22"/>
        </w:rPr>
        <w:t xml:space="preserve">Une fonction de référence peut être attribuée à un travailleur si </w:t>
      </w:r>
      <w:r w:rsidR="0016074D">
        <w:rPr>
          <w:rFonts w:asciiTheme="majorHAnsi" w:hAnsiTheme="majorHAnsi" w:cs="Calibri"/>
          <w:sz w:val="22"/>
          <w:szCs w:val="22"/>
        </w:rPr>
        <w:t>l</w:t>
      </w:r>
      <w:r w:rsidR="00B71386">
        <w:rPr>
          <w:rFonts w:asciiTheme="majorHAnsi" w:hAnsiTheme="majorHAnsi" w:cs="Calibri"/>
          <w:sz w:val="22"/>
          <w:szCs w:val="22"/>
        </w:rPr>
        <w:t xml:space="preserve">es tâches </w:t>
      </w:r>
      <w:r w:rsidR="0016074D">
        <w:rPr>
          <w:rFonts w:asciiTheme="majorHAnsi" w:hAnsiTheme="majorHAnsi" w:cs="Calibri"/>
          <w:sz w:val="22"/>
          <w:szCs w:val="22"/>
        </w:rPr>
        <w:t xml:space="preserve">décrites correspondent </w:t>
      </w:r>
      <w:r w:rsidR="00B71386">
        <w:rPr>
          <w:rFonts w:asciiTheme="majorHAnsi" w:hAnsiTheme="majorHAnsi" w:cs="Calibri"/>
          <w:sz w:val="22"/>
          <w:szCs w:val="22"/>
        </w:rPr>
        <w:t>ef</w:t>
      </w:r>
      <w:r w:rsidR="0016074D">
        <w:rPr>
          <w:rFonts w:asciiTheme="majorHAnsi" w:hAnsiTheme="majorHAnsi" w:cs="Calibri"/>
          <w:sz w:val="22"/>
          <w:szCs w:val="22"/>
        </w:rPr>
        <w:t>fectivement</w:t>
      </w:r>
      <w:r w:rsidR="00B71386" w:rsidRPr="00221911">
        <w:rPr>
          <w:rFonts w:asciiTheme="majorHAnsi" w:hAnsiTheme="majorHAnsi" w:cs="Calibri"/>
          <w:sz w:val="22"/>
          <w:szCs w:val="22"/>
        </w:rPr>
        <w:t xml:space="preserve"> dans une large mesure </w:t>
      </w:r>
      <w:r w:rsidR="007A6981">
        <w:rPr>
          <w:rFonts w:asciiTheme="majorHAnsi" w:hAnsiTheme="majorHAnsi" w:cs="Calibri"/>
          <w:sz w:val="22"/>
          <w:szCs w:val="22"/>
        </w:rPr>
        <w:t xml:space="preserve">aux tâches effectives </w:t>
      </w:r>
      <w:r w:rsidR="00B71386" w:rsidRPr="00221911">
        <w:rPr>
          <w:rFonts w:asciiTheme="majorHAnsi" w:hAnsiTheme="majorHAnsi" w:cs="Calibri"/>
          <w:sz w:val="22"/>
          <w:szCs w:val="22"/>
        </w:rPr>
        <w:t>(règle-clé des 80 %</w:t>
      </w:r>
      <w:r w:rsidR="00B71386">
        <w:rPr>
          <w:rFonts w:asciiTheme="majorHAnsi" w:hAnsiTheme="majorHAnsi" w:cs="Calibri"/>
          <w:sz w:val="22"/>
          <w:szCs w:val="22"/>
        </w:rPr>
        <w:t> ; voir les autres règles-clés par ailleurs sur notre site web</w:t>
      </w:r>
      <w:r w:rsidR="00B71386" w:rsidRPr="00221911">
        <w:rPr>
          <w:rFonts w:asciiTheme="majorHAnsi" w:hAnsiTheme="majorHAnsi" w:cs="Calibri"/>
          <w:sz w:val="22"/>
          <w:szCs w:val="22"/>
        </w:rPr>
        <w:t xml:space="preserve">). </w:t>
      </w:r>
      <w:r w:rsidR="0016074D" w:rsidRPr="00333534">
        <w:rPr>
          <w:rFonts w:asciiTheme="majorHAnsi" w:hAnsiTheme="majorHAnsi" w:cs="Calibri"/>
          <w:sz w:val="22"/>
          <w:szCs w:val="22"/>
          <w:lang w:val="fr-BE"/>
        </w:rPr>
        <w:t xml:space="preserve">Ces descriptions de fonction sectorielles ne </w:t>
      </w:r>
      <w:r w:rsidR="0016074D" w:rsidRPr="0016074D">
        <w:rPr>
          <w:rFonts w:asciiTheme="majorHAnsi" w:hAnsiTheme="majorHAnsi" w:cs="Calibri"/>
          <w:sz w:val="22"/>
          <w:szCs w:val="22"/>
          <w:lang w:val="fr-BE"/>
        </w:rPr>
        <w:t>remplacent</w:t>
      </w:r>
      <w:r w:rsidR="0016074D" w:rsidRPr="00333534">
        <w:rPr>
          <w:rFonts w:asciiTheme="majorHAnsi" w:hAnsiTheme="majorHAnsi" w:cs="Calibri"/>
          <w:sz w:val="22"/>
          <w:szCs w:val="22"/>
          <w:lang w:val="fr-BE"/>
        </w:rPr>
        <w:t xml:space="preserve"> ou n’interfèrent en aucune manière avec les de</w:t>
      </w:r>
      <w:r w:rsidR="0016074D">
        <w:rPr>
          <w:rFonts w:asciiTheme="majorHAnsi" w:hAnsiTheme="majorHAnsi" w:cs="Calibri"/>
          <w:sz w:val="22"/>
          <w:szCs w:val="22"/>
          <w:lang w:val="fr-BE"/>
        </w:rPr>
        <w:t>s</w:t>
      </w:r>
      <w:r w:rsidR="0016074D" w:rsidRPr="00333534">
        <w:rPr>
          <w:rFonts w:asciiTheme="majorHAnsi" w:hAnsiTheme="majorHAnsi" w:cs="Calibri"/>
          <w:sz w:val="22"/>
          <w:szCs w:val="22"/>
          <w:lang w:val="fr-BE"/>
        </w:rPr>
        <w:t>criptions de fon</w:t>
      </w:r>
      <w:r w:rsidR="0016074D">
        <w:rPr>
          <w:rFonts w:asciiTheme="majorHAnsi" w:hAnsiTheme="majorHAnsi" w:cs="Calibri"/>
          <w:sz w:val="22"/>
          <w:szCs w:val="22"/>
          <w:lang w:val="fr-BE"/>
        </w:rPr>
        <w:t>c</w:t>
      </w:r>
      <w:r w:rsidR="0016074D" w:rsidRPr="00333534">
        <w:rPr>
          <w:rFonts w:asciiTheme="majorHAnsi" w:hAnsiTheme="majorHAnsi" w:cs="Calibri"/>
          <w:sz w:val="22"/>
          <w:szCs w:val="22"/>
          <w:lang w:val="fr-BE"/>
        </w:rPr>
        <w:t xml:space="preserve">tions existantes au niveau local. </w:t>
      </w:r>
    </w:p>
    <w:p w:rsidR="000C36DE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C36DE">
        <w:rPr>
          <w:rFonts w:asciiTheme="majorHAnsi" w:hAnsiTheme="majorHAnsi" w:cs="Calibri"/>
          <w:b/>
          <w:i/>
          <w:sz w:val="22"/>
          <w:szCs w:val="22"/>
        </w:rPr>
        <w:t>A PARTIR DE QUAND CES FONCTIONS SONT-ELLES D’APPLICATION ?</w:t>
      </w:r>
    </w:p>
    <w:p w:rsidR="000C36DE" w:rsidRPr="00E00094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color w:val="1F497D" w:themeColor="text2"/>
          <w:sz w:val="16"/>
          <w:szCs w:val="16"/>
        </w:rPr>
      </w:pPr>
    </w:p>
    <w:p w:rsidR="001A67EF" w:rsidRDefault="00333534" w:rsidP="000C36DE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Les</w:t>
      </w:r>
      <w:r w:rsidR="00CE76E5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mises à jour des fonctions sectorielles </w:t>
      </w:r>
      <w:r w:rsidR="00CE76E5">
        <w:rPr>
          <w:rFonts w:asciiTheme="majorHAnsi" w:hAnsiTheme="majorHAnsi" w:cs="Calibri"/>
          <w:sz w:val="22"/>
          <w:szCs w:val="22"/>
        </w:rPr>
        <w:t>ont été officialisées par convention collective de travail le 19 avril dernier, mais elles n’</w:t>
      </w:r>
      <w:r>
        <w:rPr>
          <w:rFonts w:asciiTheme="majorHAnsi" w:hAnsiTheme="majorHAnsi" w:cs="Calibri"/>
          <w:sz w:val="22"/>
          <w:szCs w:val="22"/>
        </w:rPr>
        <w:t>entreront</w:t>
      </w:r>
      <w:r w:rsidR="0016074D">
        <w:rPr>
          <w:rFonts w:asciiTheme="majorHAnsi" w:hAnsiTheme="majorHAnsi" w:cs="Calibri"/>
          <w:sz w:val="22"/>
          <w:szCs w:val="22"/>
        </w:rPr>
        <w:t xml:space="preserve"> en vigueur </w:t>
      </w:r>
      <w:r w:rsidR="00CE76E5">
        <w:rPr>
          <w:rFonts w:asciiTheme="majorHAnsi" w:hAnsiTheme="majorHAnsi" w:cs="Calibri"/>
          <w:sz w:val="22"/>
          <w:szCs w:val="22"/>
        </w:rPr>
        <w:t>qu’</w:t>
      </w:r>
      <w:r>
        <w:rPr>
          <w:rFonts w:asciiTheme="majorHAnsi" w:hAnsiTheme="majorHAnsi" w:cs="Calibri"/>
          <w:sz w:val="22"/>
          <w:szCs w:val="22"/>
        </w:rPr>
        <w:t>à partir du 1</w:t>
      </w:r>
      <w:r w:rsidRPr="00333534">
        <w:rPr>
          <w:rFonts w:asciiTheme="majorHAnsi" w:hAnsiTheme="majorHAnsi" w:cs="Calibri"/>
          <w:sz w:val="22"/>
          <w:szCs w:val="22"/>
          <w:vertAlign w:val="superscript"/>
        </w:rPr>
        <w:t>er</w:t>
      </w:r>
      <w:r>
        <w:rPr>
          <w:rFonts w:asciiTheme="majorHAnsi" w:hAnsiTheme="majorHAnsi" w:cs="Calibri"/>
          <w:sz w:val="22"/>
          <w:szCs w:val="22"/>
        </w:rPr>
        <w:t xml:space="preserve"> juillet 2021.  Vous retrouverez cette date d’entrée en vigueur à l’annexe 1 de la CCT Classification de fonctions du 19/04/2021 ou en pied de page des descriptions de fonction publiées sur le site web de l’IFIC. </w:t>
      </w:r>
    </w:p>
    <w:p w:rsidR="001A67EF" w:rsidRDefault="001A67EF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br w:type="page"/>
      </w:r>
    </w:p>
    <w:p w:rsidR="0016074D" w:rsidRPr="00096096" w:rsidRDefault="001A67EF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mallCaps/>
          <w:sz w:val="28"/>
          <w:szCs w:val="28"/>
        </w:rPr>
      </w:pPr>
      <w:r>
        <w:rPr>
          <w:rFonts w:asciiTheme="majorHAnsi" w:hAnsiTheme="majorHAnsi" w:cs="Calibri"/>
          <w:b/>
          <w:i/>
          <w:smallCaps/>
          <w:sz w:val="28"/>
          <w:szCs w:val="28"/>
        </w:rPr>
        <w:lastRenderedPageBreak/>
        <w:t>J’exerce une fonction qui a été entretenue (modifiée ou ajoutée) en 2021 : quel sera pour moi l’impact de ces mises à jour</w:t>
      </w:r>
      <w:r w:rsidRPr="00096096">
        <w:rPr>
          <w:rFonts w:asciiTheme="majorHAnsi" w:hAnsiTheme="majorHAnsi" w:cs="Calibri"/>
          <w:b/>
          <w:i/>
          <w:smallCaps/>
          <w:sz w:val="28"/>
          <w:szCs w:val="28"/>
        </w:rPr>
        <w:t> ?</w:t>
      </w:r>
    </w:p>
    <w:p w:rsidR="001A67EF" w:rsidRDefault="001A67EF" w:rsidP="000C36DE">
      <w:pPr>
        <w:rPr>
          <w:rFonts w:asciiTheme="majorHAnsi" w:hAnsiTheme="majorHAnsi" w:cs="Calibri"/>
          <w:sz w:val="22"/>
          <w:szCs w:val="22"/>
        </w:rPr>
      </w:pPr>
    </w:p>
    <w:p w:rsidR="001A67EF" w:rsidRPr="00096096" w:rsidRDefault="002327B6" w:rsidP="00096096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096096">
        <w:rPr>
          <w:b/>
          <w:sz w:val="22"/>
          <w:szCs w:val="22"/>
          <w:lang w:val="fr-FR"/>
        </w:rPr>
        <w:t>Vous êtes directement concerné par une fonction de référence sectorielle ayant été modifiée</w:t>
      </w:r>
      <w:r w:rsidR="001A67EF" w:rsidRPr="00096096">
        <w:rPr>
          <w:b/>
          <w:sz w:val="22"/>
          <w:szCs w:val="22"/>
        </w:rPr>
        <w:t xml:space="preserve"> suite à l’entretien :</w:t>
      </w:r>
    </w:p>
    <w:p w:rsidR="001A67EF" w:rsidRDefault="001A67EF" w:rsidP="0009609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67EF" w:rsidRDefault="001A67EF" w:rsidP="000960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Comme prévu par la convention collective de travail</w:t>
      </w:r>
      <w:r w:rsidR="00A935C2">
        <w:rPr>
          <w:sz w:val="22"/>
          <w:szCs w:val="22"/>
        </w:rPr>
        <w:t xml:space="preserve"> « procédures »</w:t>
      </w:r>
      <w:r>
        <w:rPr>
          <w:sz w:val="22"/>
          <w:szCs w:val="22"/>
        </w:rPr>
        <w:t xml:space="preserve"> du 31/03/2021</w:t>
      </w:r>
      <w:r w:rsidRPr="001A67EF">
        <w:rPr>
          <w:sz w:val="22"/>
          <w:szCs w:val="22"/>
        </w:rPr>
        <w:t xml:space="preserve">, la description de fonction ainsi modifiée </w:t>
      </w:r>
      <w:r w:rsidRPr="00096096">
        <w:rPr>
          <w:sz w:val="22"/>
          <w:szCs w:val="22"/>
          <w:u w:val="single"/>
        </w:rPr>
        <w:t>s’applique automatiquement</w:t>
      </w:r>
      <w:r w:rsidRPr="001A67EF">
        <w:rPr>
          <w:sz w:val="22"/>
          <w:szCs w:val="22"/>
        </w:rPr>
        <w:t xml:space="preserve"> à l’ensemble des travailleurs en service à qui cette fonction est déjà attribuée, ainsi qu’aux nouveaux travailleurs qui entrent en service dans la même fonction.  </w:t>
      </w:r>
    </w:p>
    <w:p w:rsidR="001A67EF" w:rsidRDefault="001A67EF">
      <w:pPr>
        <w:pStyle w:val="Default"/>
        <w:rPr>
          <w:sz w:val="22"/>
          <w:szCs w:val="22"/>
        </w:rPr>
      </w:pPr>
    </w:p>
    <w:p w:rsidR="001A67EF" w:rsidRPr="00096096" w:rsidRDefault="001A67E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Aucune fonction de référence sectorielle existante n’ayant changé de catégorie suite à l’entretien, il n’y</w:t>
      </w:r>
      <w:r w:rsidRPr="002327B6">
        <w:rPr>
          <w:sz w:val="22"/>
          <w:szCs w:val="22"/>
        </w:rPr>
        <w:t xml:space="preserve"> a</w:t>
      </w:r>
      <w:r w:rsidRPr="00096096">
        <w:rPr>
          <w:sz w:val="22"/>
          <w:szCs w:val="22"/>
          <w:u w:val="single"/>
        </w:rPr>
        <w:t xml:space="preserve"> pas d’impact sur votre situation barémique. </w:t>
      </w:r>
    </w:p>
    <w:p w:rsidR="001A67EF" w:rsidRDefault="001A67EF" w:rsidP="00096096">
      <w:pPr>
        <w:pStyle w:val="Default"/>
        <w:jc w:val="both"/>
        <w:rPr>
          <w:sz w:val="22"/>
          <w:szCs w:val="22"/>
        </w:rPr>
      </w:pPr>
    </w:p>
    <w:p w:rsidR="001A67EF" w:rsidRPr="00096096" w:rsidRDefault="002327B6" w:rsidP="00096096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096096">
        <w:rPr>
          <w:b/>
          <w:sz w:val="22"/>
          <w:szCs w:val="22"/>
        </w:rPr>
        <w:t>Vous êtes directement concerné par une fonction de référence sectorielle ayant été ajoutée à la classification suite à l’entretien :</w:t>
      </w:r>
    </w:p>
    <w:p w:rsidR="001A67EF" w:rsidRDefault="001A67EF" w:rsidP="001A67EF">
      <w:pPr>
        <w:pStyle w:val="Default"/>
        <w:rPr>
          <w:sz w:val="22"/>
          <w:szCs w:val="22"/>
        </w:rPr>
      </w:pPr>
    </w:p>
    <w:p w:rsidR="00E00094" w:rsidRDefault="00E00094" w:rsidP="00096096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Une </w:t>
      </w:r>
      <w:r w:rsidRPr="00096096">
        <w:rPr>
          <w:rFonts w:asciiTheme="majorHAnsi" w:hAnsiTheme="majorHAnsi" w:cs="Calibri"/>
          <w:sz w:val="22"/>
          <w:szCs w:val="22"/>
          <w:u w:val="single"/>
        </w:rPr>
        <w:t>communication individuelle</w:t>
      </w:r>
      <w:r>
        <w:rPr>
          <w:rFonts w:asciiTheme="majorHAnsi" w:hAnsiTheme="majorHAnsi" w:cs="Calibri"/>
          <w:sz w:val="22"/>
          <w:szCs w:val="22"/>
        </w:rPr>
        <w:t xml:space="preserve"> ainsi que, le cas échéant, les modalités barémiques d’application, </w:t>
      </w:r>
      <w:r w:rsidR="002327B6">
        <w:rPr>
          <w:rFonts w:asciiTheme="majorHAnsi" w:hAnsiTheme="majorHAnsi" w:cs="Calibri"/>
          <w:sz w:val="22"/>
          <w:szCs w:val="22"/>
        </w:rPr>
        <w:t>sont</w:t>
      </w:r>
      <w:r>
        <w:rPr>
          <w:rFonts w:asciiTheme="majorHAnsi" w:hAnsiTheme="majorHAnsi" w:cs="Calibri"/>
          <w:sz w:val="22"/>
          <w:szCs w:val="22"/>
        </w:rPr>
        <w:t xml:space="preserve"> transmises à chacun des travailleurs concernés directement par la mise à jour d’une fonction sectorielle</w:t>
      </w:r>
      <w:r w:rsidR="002327B6">
        <w:rPr>
          <w:rFonts w:asciiTheme="majorHAnsi" w:hAnsiTheme="majorHAnsi" w:cs="Calibri"/>
          <w:sz w:val="22"/>
          <w:szCs w:val="22"/>
        </w:rPr>
        <w:t xml:space="preserve"> (il s’agit d’une communication distincte de la présente communication générale)</w:t>
      </w:r>
      <w:r>
        <w:rPr>
          <w:rFonts w:asciiTheme="majorHAnsi" w:hAnsiTheme="majorHAnsi" w:cs="Calibri"/>
          <w:sz w:val="22"/>
          <w:szCs w:val="22"/>
        </w:rPr>
        <w:t xml:space="preserve">. </w:t>
      </w:r>
    </w:p>
    <w:p w:rsidR="002327B6" w:rsidRDefault="002327B6" w:rsidP="00096096">
      <w:pPr>
        <w:jc w:val="both"/>
        <w:rPr>
          <w:rFonts w:asciiTheme="majorHAnsi" w:hAnsiTheme="majorHAnsi" w:cs="Calibri"/>
          <w:sz w:val="22"/>
          <w:szCs w:val="22"/>
        </w:rPr>
      </w:pPr>
    </w:p>
    <w:p w:rsidR="002327B6" w:rsidRDefault="002327B6" w:rsidP="000960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Remarque : que vous soyez concerné par une fonction modifiée ou ajoutée à la classification, ce changement constitue une adaptation administrative qui n’entraîne en aucun cas une modification de vos tâches effectives actuelles. </w:t>
      </w:r>
    </w:p>
    <w:p w:rsidR="002327B6" w:rsidRPr="00E00094" w:rsidRDefault="002327B6" w:rsidP="000C36DE">
      <w:pPr>
        <w:rPr>
          <w:rFonts w:asciiTheme="majorHAnsi" w:hAnsiTheme="majorHAnsi" w:cs="Calibri"/>
          <w:b/>
          <w:color w:val="984806" w:themeColor="accent6" w:themeShade="80"/>
          <w:sz w:val="22"/>
          <w:szCs w:val="22"/>
          <w:lang w:val="fr-BE"/>
        </w:rPr>
      </w:pPr>
    </w:p>
    <w:p w:rsidR="000C36DE" w:rsidRPr="00E00094" w:rsidRDefault="000C36DE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6"/>
          <w:szCs w:val="16"/>
        </w:rPr>
      </w:pPr>
    </w:p>
    <w:p w:rsidR="000C36DE" w:rsidRDefault="000C36DE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1"/>
          <w:szCs w:val="21"/>
        </w:rPr>
      </w:pPr>
    </w:p>
    <w:p w:rsidR="00DF7B56" w:rsidRDefault="00DF7B5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Salutations distinguées</w:t>
      </w:r>
      <w:r w:rsidR="00F824E6">
        <w:rPr>
          <w:rFonts w:asciiTheme="majorHAnsi" w:hAnsiTheme="majorHAnsi" w:cs="Calibri"/>
          <w:sz w:val="21"/>
          <w:szCs w:val="21"/>
        </w:rPr>
        <w:t>,</w:t>
      </w:r>
    </w:p>
    <w:p w:rsidR="00096096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</w:rPr>
      </w:pPr>
    </w:p>
    <w:p w:rsidR="00096096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</w:rPr>
      </w:pPr>
    </w:p>
    <w:p w:rsidR="00096096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</w:rPr>
      </w:pPr>
    </w:p>
    <w:tbl>
      <w:tblPr>
        <w:tblStyle w:val="Tabelraster"/>
        <w:tblW w:w="0" w:type="auto"/>
        <w:tblInd w:w="240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0C36DE" w:rsidRPr="00EF2583" w:rsidTr="00E00094">
        <w:tc>
          <w:tcPr>
            <w:tcW w:w="6515" w:type="dxa"/>
          </w:tcPr>
          <w:p w:rsidR="000C36DE" w:rsidRPr="004D6A69" w:rsidRDefault="000C36DE" w:rsidP="00DE7B6F">
            <w:pPr>
              <w:rPr>
                <w:color w:val="4F81BD" w:themeColor="accent1"/>
                <w:sz w:val="21"/>
                <w:szCs w:val="21"/>
              </w:rPr>
            </w:pPr>
            <w:r w:rsidRPr="004D6A69">
              <w:rPr>
                <w:color w:val="4F81BD" w:themeColor="accent1"/>
                <w:sz w:val="21"/>
                <w:szCs w:val="21"/>
              </w:rPr>
              <w:t>Signature direction</w:t>
            </w:r>
          </w:p>
          <w:p w:rsidR="000C36DE" w:rsidRPr="004D6A69" w:rsidRDefault="000C36DE" w:rsidP="00DE7B6F">
            <w:pPr>
              <w:rPr>
                <w:color w:val="4F81BD" w:themeColor="accent1"/>
                <w:sz w:val="21"/>
                <w:szCs w:val="21"/>
              </w:rPr>
            </w:pPr>
            <w:r w:rsidRPr="004D6A69">
              <w:rPr>
                <w:color w:val="4F81BD" w:themeColor="accent1"/>
                <w:sz w:val="21"/>
                <w:szCs w:val="21"/>
              </w:rPr>
              <w:t>+</w:t>
            </w:r>
          </w:p>
          <w:p w:rsidR="000C36DE" w:rsidRPr="004D6A69" w:rsidRDefault="000C36DE" w:rsidP="00DE7B6F">
            <w:pPr>
              <w:rPr>
                <w:color w:val="4F81BD" w:themeColor="accent1"/>
                <w:sz w:val="21"/>
                <w:szCs w:val="21"/>
              </w:rPr>
            </w:pPr>
            <w:r w:rsidRPr="004D6A69">
              <w:rPr>
                <w:color w:val="4F81BD" w:themeColor="accent1"/>
                <w:sz w:val="21"/>
                <w:szCs w:val="21"/>
              </w:rPr>
              <w:t>Coordonnées de la personne de référence interne en cas de questions</w:t>
            </w:r>
          </w:p>
        </w:tc>
      </w:tr>
    </w:tbl>
    <w:p w:rsidR="00E00094" w:rsidRDefault="00E00094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2327B6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2327B6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2327B6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2327B6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2327B6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</w:pPr>
    </w:p>
    <w:p w:rsidR="00AA0716" w:rsidRDefault="008B7FF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</w:rPr>
        <w:sectPr w:rsidR="00AA0716" w:rsidSect="00E00094">
          <w:headerReference w:type="default" r:id="rId9"/>
          <w:footerReference w:type="default" r:id="rId10"/>
          <w:headerReference w:type="first" r:id="rId11"/>
          <w:pgSz w:w="12240" w:h="15840"/>
          <w:pgMar w:top="851" w:right="1325" w:bottom="567" w:left="1134" w:header="426" w:footer="720" w:gutter="0"/>
          <w:cols w:space="720"/>
          <w:noEndnote/>
          <w:titlePg/>
          <w:docGrid w:linePitch="326"/>
        </w:sectPr>
      </w:pPr>
      <w:r>
        <w:rPr>
          <w:rFonts w:asciiTheme="majorHAnsi" w:hAnsiTheme="majorHAnsi" w:cs="Calibri"/>
          <w:b/>
          <w:sz w:val="21"/>
          <w:szCs w:val="21"/>
        </w:rPr>
        <w:t xml:space="preserve">Annexe : 1 </w:t>
      </w:r>
      <w:r w:rsidR="000C36DE">
        <w:rPr>
          <w:rFonts w:asciiTheme="majorHAnsi" w:hAnsiTheme="majorHAnsi" w:cs="Calibri"/>
          <w:b/>
          <w:sz w:val="21"/>
          <w:szCs w:val="21"/>
        </w:rPr>
        <w:t xml:space="preserve"> - liste des fonctions entretenues en 2021 </w:t>
      </w:r>
    </w:p>
    <w:p w:rsidR="009524D6" w:rsidRDefault="00096096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</w:rPr>
      </w:pPr>
      <w:r>
        <w:rPr>
          <w:rFonts w:asciiTheme="majorHAnsi" w:hAnsiTheme="majorHAnsi" w:cs="Times"/>
          <w:color w:val="984806" w:themeColor="accent6" w:themeShade="80"/>
          <w:sz w:val="36"/>
          <w:szCs w:val="36"/>
        </w:rPr>
        <w:lastRenderedPageBreak/>
        <w:t>Annexe 1 :</w:t>
      </w:r>
      <w:r w:rsidR="00BD558E">
        <w:rPr>
          <w:rFonts w:asciiTheme="majorHAnsi" w:hAnsiTheme="majorHAnsi" w:cs="Times"/>
          <w:color w:val="984806" w:themeColor="accent6" w:themeShade="80"/>
          <w:sz w:val="36"/>
          <w:szCs w:val="36"/>
        </w:rPr>
        <w:t xml:space="preserve"> </w:t>
      </w:r>
      <w:r w:rsidR="00440DD0" w:rsidRPr="00440DD0">
        <w:rPr>
          <w:rFonts w:asciiTheme="majorHAnsi" w:hAnsiTheme="majorHAnsi" w:cs="Times"/>
          <w:color w:val="984806" w:themeColor="accent6" w:themeShade="80"/>
          <w:sz w:val="36"/>
          <w:szCs w:val="36"/>
        </w:rPr>
        <w:t>EVENTAIL DE FONCTIONS IFIC – LISTE DES MISES A JOUR 2021</w:t>
      </w:r>
      <w:r w:rsidR="009524D6">
        <w:rPr>
          <w:rFonts w:asciiTheme="majorHAnsi" w:hAnsiTheme="majorHAnsi" w:cs="Times"/>
          <w:color w:val="984806" w:themeColor="accent6" w:themeShade="80"/>
          <w:sz w:val="36"/>
          <w:szCs w:val="36"/>
        </w:rPr>
        <w:t xml:space="preserve"> </w:t>
      </w:r>
    </w:p>
    <w:p w:rsidR="00DF7B56" w:rsidRDefault="009524D6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</w:rPr>
      </w:pPr>
      <w:r>
        <w:rPr>
          <w:rFonts w:asciiTheme="majorHAnsi" w:hAnsiTheme="majorHAnsi" w:cs="Times"/>
          <w:color w:val="984806" w:themeColor="accent6" w:themeShade="80"/>
          <w:sz w:val="36"/>
          <w:szCs w:val="36"/>
        </w:rPr>
        <w:t>(</w:t>
      </w:r>
      <w:proofErr w:type="gramStart"/>
      <w:r>
        <w:rPr>
          <w:rFonts w:asciiTheme="majorHAnsi" w:hAnsiTheme="majorHAnsi" w:cs="Times"/>
          <w:color w:val="984806" w:themeColor="accent6" w:themeShade="80"/>
          <w:sz w:val="36"/>
          <w:szCs w:val="36"/>
        </w:rPr>
        <w:t>en</w:t>
      </w:r>
      <w:proofErr w:type="gramEnd"/>
      <w:r>
        <w:rPr>
          <w:rFonts w:asciiTheme="majorHAnsi" w:hAnsiTheme="majorHAnsi" w:cs="Times"/>
          <w:color w:val="984806" w:themeColor="accent6" w:themeShade="80"/>
          <w:sz w:val="36"/>
          <w:szCs w:val="36"/>
        </w:rPr>
        <w:t xml:space="preserve"> vigueur à partir du 01/07/2021)</w:t>
      </w:r>
    </w:p>
    <w:p w:rsidR="00664CA8" w:rsidRDefault="00664CA8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</w:rPr>
      </w:pPr>
    </w:p>
    <w:p w:rsidR="00AA0716" w:rsidRPr="00AA0716" w:rsidRDefault="00AA0716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16"/>
          <w:szCs w:val="16"/>
        </w:rPr>
      </w:pPr>
    </w:p>
    <w:tbl>
      <w:tblPr>
        <w:tblStyle w:val="Tabelraster"/>
        <w:tblW w:w="14459" w:type="dxa"/>
        <w:tblInd w:w="-5" w:type="dxa"/>
        <w:tblLook w:val="04A0" w:firstRow="1" w:lastRow="0" w:firstColumn="1" w:lastColumn="0" w:noHBand="0" w:noVBand="1"/>
      </w:tblPr>
      <w:tblGrid>
        <w:gridCol w:w="2409"/>
        <w:gridCol w:w="2060"/>
        <w:gridCol w:w="6297"/>
        <w:gridCol w:w="1850"/>
        <w:gridCol w:w="1843"/>
      </w:tblGrid>
      <w:tr w:rsidR="00AA0716" w:rsidTr="00664CA8">
        <w:tc>
          <w:tcPr>
            <w:tcW w:w="2409" w:type="dxa"/>
            <w:shd w:val="clear" w:color="auto" w:fill="948A54" w:themeFill="background2" w:themeFillShade="80"/>
          </w:tcPr>
          <w:p w:rsidR="00AA0716" w:rsidRPr="00664CA8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</w:rPr>
            </w:pPr>
            <w:r w:rsidRPr="00664CA8">
              <w:rPr>
                <w:rFonts w:asciiTheme="majorHAnsi" w:hAnsiTheme="majorHAnsi" w:cs="Cambria"/>
                <w:b/>
                <w:color w:val="FFFFFF" w:themeColor="background1"/>
              </w:rPr>
              <w:t>DEPARTEMENT</w:t>
            </w:r>
          </w:p>
        </w:tc>
        <w:tc>
          <w:tcPr>
            <w:tcW w:w="2060" w:type="dxa"/>
            <w:shd w:val="clear" w:color="auto" w:fill="948A54" w:themeFill="background2" w:themeFillShade="80"/>
          </w:tcPr>
          <w:p w:rsidR="00AA0716" w:rsidRPr="00664CA8" w:rsidRDefault="00AA0716" w:rsidP="00A777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mbria"/>
                <w:b/>
                <w:color w:val="FFFFFF" w:themeColor="background1"/>
              </w:rPr>
            </w:pPr>
            <w:r w:rsidRPr="00664CA8">
              <w:rPr>
                <w:rFonts w:asciiTheme="majorHAnsi" w:hAnsiTheme="majorHAnsi" w:cs="Cambria"/>
                <w:b/>
                <w:color w:val="FFFFFF" w:themeColor="background1"/>
              </w:rPr>
              <w:t>FAMILLE</w:t>
            </w:r>
          </w:p>
        </w:tc>
        <w:tc>
          <w:tcPr>
            <w:tcW w:w="6297" w:type="dxa"/>
            <w:shd w:val="clear" w:color="auto" w:fill="948A54" w:themeFill="background2" w:themeFillShade="80"/>
          </w:tcPr>
          <w:p w:rsidR="00AA0716" w:rsidRPr="00664CA8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</w:rPr>
            </w:pPr>
            <w:r w:rsidRPr="00664CA8">
              <w:rPr>
                <w:rFonts w:asciiTheme="majorHAnsi" w:hAnsiTheme="majorHAnsi" w:cs="Cambria"/>
                <w:b/>
                <w:color w:val="FFFFFF" w:themeColor="background1"/>
              </w:rPr>
              <w:t>FONCTION</w:t>
            </w:r>
          </w:p>
        </w:tc>
        <w:tc>
          <w:tcPr>
            <w:tcW w:w="1850" w:type="dxa"/>
            <w:shd w:val="clear" w:color="auto" w:fill="948A54" w:themeFill="background2" w:themeFillShade="80"/>
          </w:tcPr>
          <w:p w:rsidR="00AA0716" w:rsidRPr="00664CA8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</w:rPr>
            </w:pPr>
            <w:r w:rsidRPr="00664CA8">
              <w:rPr>
                <w:rFonts w:asciiTheme="majorHAnsi" w:hAnsiTheme="majorHAnsi" w:cs="Cambria"/>
                <w:b/>
                <w:color w:val="FFFFFF" w:themeColor="background1"/>
              </w:rPr>
              <w:t xml:space="preserve">CATEGORIE avant entretien 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AA0716" w:rsidRPr="00664CA8" w:rsidRDefault="00AA0716" w:rsidP="00AA071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</w:rPr>
            </w:pPr>
            <w:r w:rsidRPr="00664CA8">
              <w:rPr>
                <w:rFonts w:asciiTheme="majorHAnsi" w:hAnsiTheme="majorHAnsi" w:cs="Cambria"/>
                <w:b/>
                <w:color w:val="FFFFFF" w:themeColor="background1"/>
              </w:rPr>
              <w:t>CATEGORIE après entretien</w:t>
            </w:r>
          </w:p>
        </w:tc>
      </w:tr>
      <w:tr w:rsidR="00AA0716" w:rsidTr="00664CA8">
        <w:tc>
          <w:tcPr>
            <w:tcW w:w="2409" w:type="dxa"/>
          </w:tcPr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</w:rPr>
              <w:t xml:space="preserve">ADMINISTRATION </w:t>
            </w: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 xml:space="preserve">Service du personnel </w:t>
            </w:r>
          </w:p>
        </w:tc>
        <w:tc>
          <w:tcPr>
            <w:tcW w:w="6297" w:type="dxa"/>
          </w:tcPr>
          <w:p w:rsidR="00AA0716" w:rsidRPr="00540630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Changement de dénomination de la famille :</w:t>
            </w:r>
            <w:r w:rsidRPr="00540630">
              <w:rPr>
                <w:rFonts w:asciiTheme="majorHAnsi" w:hAnsiTheme="majorHAnsi" w:cs="Cambria"/>
                <w:sz w:val="21"/>
                <w:szCs w:val="21"/>
              </w:rPr>
              <w:t xml:space="preserve"> </w:t>
            </w:r>
          </w:p>
          <w:p w:rsidR="00AA0716" w:rsidRPr="00540630" w:rsidRDefault="00AA0716" w:rsidP="00A7775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Services du personnel/RH</w:t>
            </w:r>
          </w:p>
        </w:tc>
        <w:tc>
          <w:tcPr>
            <w:tcW w:w="1850" w:type="dxa"/>
          </w:tcPr>
          <w:p w:rsidR="00AA0716" w:rsidRPr="00664CA8" w:rsidRDefault="00AA0716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664CA8">
              <w:rPr>
                <w:rFonts w:asciiTheme="majorHAnsi" w:hAnsiTheme="majorHAnsi" w:cs="Cambria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AA0716" w:rsidRPr="00664CA8" w:rsidRDefault="00AA0716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664CA8">
              <w:rPr>
                <w:rFonts w:asciiTheme="majorHAnsi" w:hAnsiTheme="majorHAnsi" w:cs="Cambria"/>
                <w:sz w:val="21"/>
                <w:szCs w:val="21"/>
              </w:rPr>
              <w:t>-</w:t>
            </w:r>
          </w:p>
        </w:tc>
      </w:tr>
      <w:tr w:rsidR="00AA0716" w:rsidTr="00664CA8">
        <w:tc>
          <w:tcPr>
            <w:tcW w:w="2409" w:type="dxa"/>
            <w:vMerge w:val="restart"/>
          </w:tcPr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7910A2">
              <w:rPr>
                <w:rFonts w:asciiTheme="majorHAnsi" w:hAnsiTheme="majorHAnsi" w:cs="Cambria"/>
                <w:b/>
                <w:sz w:val="21"/>
                <w:szCs w:val="21"/>
              </w:rPr>
              <w:t>MEDICO-TECHNIQUE &amp; PHARMACIE</w:t>
            </w: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Laboratoire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 du contenu de la fonction :</w:t>
            </w:r>
          </w:p>
          <w:p w:rsidR="00664CA8" w:rsidRDefault="00664CA8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040DBD" w:rsidRDefault="00AA0716" w:rsidP="00A7775E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>3270 – Technologue laboratoire médical</w:t>
            </w:r>
          </w:p>
        </w:tc>
        <w:tc>
          <w:tcPr>
            <w:tcW w:w="1850" w:type="dxa"/>
          </w:tcPr>
          <w:p w:rsidR="00664CA8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AA0716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664CA8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AA0716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  <w:vMerge/>
          </w:tcPr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 xml:space="preserve">Service </w:t>
            </w:r>
            <w:proofErr w:type="spellStart"/>
            <w:r>
              <w:rPr>
                <w:rFonts w:asciiTheme="majorHAnsi" w:hAnsiTheme="majorHAnsi" w:cs="Cambria"/>
                <w:sz w:val="21"/>
                <w:szCs w:val="21"/>
              </w:rPr>
              <w:t>médico-technique</w:t>
            </w:r>
            <w:proofErr w:type="spellEnd"/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7910A2"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</w:t>
            </w: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 </w:t>
            </w:r>
            <w:r w:rsidRPr="007910A2"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titre de la fonction et/ou contenu :  </w:t>
            </w:r>
          </w:p>
          <w:p w:rsidR="00664CA8" w:rsidRPr="007910A2" w:rsidRDefault="00664CA8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7910A2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 xml:space="preserve">3421 – Radiophysicien en chef </w:t>
            </w:r>
          </w:p>
          <w:p w:rsidR="00AA0716" w:rsidRPr="007910A2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>3470 – Radiophysicien</w:t>
            </w:r>
          </w:p>
          <w:p w:rsidR="00AA0716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>3471 – Technologue imagerie médicale/Inf</w:t>
            </w:r>
            <w:bookmarkStart w:id="0" w:name="_GoBack"/>
            <w:bookmarkEnd w:id="0"/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>irmier imagerie médicale</w:t>
            </w:r>
          </w:p>
          <w:p w:rsidR="00624084" w:rsidRPr="00514C45" w:rsidRDefault="00624084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fr-BE"/>
              </w:rPr>
            </w:pPr>
            <w:r w:rsidRPr="00514C45">
              <w:rPr>
                <w:rFonts w:asciiTheme="majorHAnsi" w:hAnsiTheme="majorHAnsi" w:cs="Cambria"/>
                <w:i/>
                <w:sz w:val="21"/>
                <w:szCs w:val="21"/>
                <w:lang w:val="fr-BE"/>
              </w:rPr>
              <w:t xml:space="preserve">3473 – Collaborateur en stérilisation/ </w:t>
            </w:r>
            <w:r w:rsidR="00BD558E">
              <w:rPr>
                <w:rFonts w:asciiTheme="majorHAnsi" w:hAnsiTheme="majorHAnsi" w:cs="Cambria"/>
                <w:i/>
                <w:sz w:val="21"/>
                <w:szCs w:val="21"/>
                <w:lang w:val="fr-BE"/>
              </w:rPr>
              <w:t>auxiliaire en stérilisation</w:t>
            </w:r>
            <w:r>
              <w:rPr>
                <w:rStyle w:val="Voetnootmarkering"/>
                <w:rFonts w:asciiTheme="majorHAnsi" w:hAnsiTheme="majorHAnsi" w:cs="Cambria"/>
                <w:i/>
                <w:sz w:val="21"/>
                <w:szCs w:val="21"/>
                <w:lang w:val="nl-BE"/>
              </w:rPr>
              <w:footnoteReference w:id="2"/>
            </w:r>
          </w:p>
          <w:p w:rsidR="00AA0716" w:rsidRPr="00514C45" w:rsidRDefault="00AA0716" w:rsidP="005B17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1"/>
                <w:szCs w:val="21"/>
                <w:lang w:val="fr-BE"/>
              </w:rPr>
            </w:pPr>
          </w:p>
        </w:tc>
        <w:tc>
          <w:tcPr>
            <w:tcW w:w="1850" w:type="dxa"/>
          </w:tcPr>
          <w:p w:rsidR="00664CA8" w:rsidRPr="00514C45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fr-BE"/>
              </w:rPr>
            </w:pPr>
          </w:p>
          <w:p w:rsidR="00664CA8" w:rsidRPr="00514C45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fr-BE"/>
              </w:rPr>
            </w:pPr>
          </w:p>
          <w:p w:rsidR="00AA0716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20</w:t>
            </w:r>
          </w:p>
          <w:p w:rsidR="00664CA8" w:rsidRPr="00E00094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19</w:t>
            </w:r>
          </w:p>
          <w:p w:rsidR="00664CA8" w:rsidRDefault="00664CA8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  <w:p w:rsidR="00BD558E" w:rsidRPr="00E00094" w:rsidRDefault="00BD558E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9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AA0716" w:rsidRPr="00E00094" w:rsidRDefault="00664CA8" w:rsidP="00664C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9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20</w:t>
            </w:r>
          </w:p>
          <w:p w:rsidR="00664CA8" w:rsidRPr="00E00094" w:rsidRDefault="00664CA8" w:rsidP="00664C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19</w:t>
            </w:r>
          </w:p>
          <w:p w:rsidR="00664CA8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  <w:p w:rsidR="00BD558E" w:rsidRPr="00E00094" w:rsidRDefault="00BD558E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</w:tc>
      </w:tr>
      <w:tr w:rsidR="00AA0716" w:rsidTr="00664CA8">
        <w:tc>
          <w:tcPr>
            <w:tcW w:w="2409" w:type="dxa"/>
          </w:tcPr>
          <w:p w:rsidR="00AA0716" w:rsidRPr="007910A2" w:rsidRDefault="00AA0716" w:rsidP="00664C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</w:rPr>
              <w:t>PARAMEDICAL</w:t>
            </w: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Services paramédicaux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Adaptation du contenu de la fonction : </w:t>
            </w:r>
          </w:p>
          <w:p w:rsidR="00664CA8" w:rsidRDefault="00664CA8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0E410C" w:rsidRDefault="00AA0716" w:rsidP="00A7775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0E410C">
              <w:rPr>
                <w:rFonts w:asciiTheme="majorHAnsi" w:hAnsiTheme="majorHAnsi" w:cs="Cambria"/>
                <w:i/>
                <w:sz w:val="21"/>
                <w:szCs w:val="21"/>
              </w:rPr>
              <w:t xml:space="preserve">4081 – </w:t>
            </w:r>
            <w:proofErr w:type="spellStart"/>
            <w:r w:rsidRPr="000E410C">
              <w:rPr>
                <w:rFonts w:asciiTheme="majorHAnsi" w:hAnsiTheme="majorHAnsi" w:cs="Cambria"/>
                <w:i/>
                <w:sz w:val="21"/>
                <w:szCs w:val="21"/>
              </w:rPr>
              <w:t>Audiologue</w:t>
            </w:r>
            <w:proofErr w:type="spellEnd"/>
          </w:p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</w:tc>
        <w:tc>
          <w:tcPr>
            <w:tcW w:w="1850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</w:tcPr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7910A2">
              <w:rPr>
                <w:rFonts w:asciiTheme="majorHAnsi" w:hAnsiTheme="majorHAnsi" w:cs="Cambria"/>
                <w:b/>
                <w:sz w:val="21"/>
                <w:szCs w:val="21"/>
              </w:rPr>
              <w:t xml:space="preserve">PSYCHO-SOCIAL </w:t>
            </w: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Service Psycho-social</w:t>
            </w:r>
          </w:p>
        </w:tc>
        <w:tc>
          <w:tcPr>
            <w:tcW w:w="6297" w:type="dxa"/>
          </w:tcPr>
          <w:p w:rsidR="00664CA8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7910A2"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Adaptation titre de la fonction et/ou contenu : </w:t>
            </w:r>
          </w:p>
          <w:p w:rsidR="00AA0716" w:rsidRPr="007910A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7910A2"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 </w:t>
            </w:r>
          </w:p>
          <w:p w:rsidR="00AA0716" w:rsidRPr="007910A2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5020</w:t>
            </w: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 xml:space="preserve"> –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Chef du service psychologie clinique</w:t>
            </w: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 xml:space="preserve"> </w:t>
            </w:r>
          </w:p>
          <w:p w:rsidR="00AA0716" w:rsidRPr="007910A2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50</w:t>
            </w: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 xml:space="preserve">70 –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Psychologue clinique</w:t>
            </w:r>
          </w:p>
          <w:p w:rsidR="00AA0716" w:rsidRPr="00540630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5078</w:t>
            </w:r>
            <w:r w:rsidRPr="007910A2">
              <w:rPr>
                <w:rFonts w:asciiTheme="majorHAnsi" w:hAnsiTheme="majorHAnsi" w:cs="Cambria"/>
                <w:i/>
                <w:sz w:val="21"/>
                <w:szCs w:val="21"/>
              </w:rPr>
              <w:t xml:space="preserve"> –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Médiateur droits du patient</w:t>
            </w:r>
          </w:p>
          <w:p w:rsidR="00AA0716" w:rsidRPr="007910A2" w:rsidRDefault="00AA0716" w:rsidP="00A7775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5079 – Médiateur interculturel</w:t>
            </w:r>
          </w:p>
          <w:p w:rsidR="00AA0716" w:rsidRDefault="00AA0716" w:rsidP="00A777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50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17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16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15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17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16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15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  <w:vMerge w:val="restart"/>
          </w:tcPr>
          <w:p w:rsidR="00AA0716" w:rsidRPr="005C7EF2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5C7EF2">
              <w:rPr>
                <w:rFonts w:asciiTheme="majorHAnsi" w:hAnsiTheme="majorHAnsi" w:cs="Cambria"/>
                <w:b/>
                <w:sz w:val="21"/>
                <w:szCs w:val="21"/>
              </w:rPr>
              <w:t>INFIRMIER-SOIGNANT</w:t>
            </w:r>
          </w:p>
        </w:tc>
        <w:tc>
          <w:tcPr>
            <w:tcW w:w="2060" w:type="dxa"/>
            <w:vMerge w:val="restart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Hôpitaux généraux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 du contenu de la fonction </w:t>
            </w:r>
            <w:r w:rsidRPr="000E410C"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: </w:t>
            </w:r>
          </w:p>
          <w:p w:rsidR="00664CA8" w:rsidRPr="000E410C" w:rsidRDefault="00664CA8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Default="00AA0716" w:rsidP="00A7775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0E410C">
              <w:rPr>
                <w:rFonts w:asciiTheme="majorHAnsi" w:hAnsiTheme="majorHAnsi" w:cs="Cambria"/>
                <w:i/>
                <w:sz w:val="21"/>
                <w:szCs w:val="21"/>
              </w:rPr>
              <w:t>6171 – Sage-femme</w:t>
            </w:r>
          </w:p>
          <w:p w:rsidR="00AA0716" w:rsidRPr="000E410C" w:rsidRDefault="00AA0716" w:rsidP="00A7775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6172 – Aide-soignant hôpital</w:t>
            </w:r>
          </w:p>
          <w:p w:rsidR="00AA0716" w:rsidRPr="000E410C" w:rsidRDefault="00AA0716" w:rsidP="00A7775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</w:rPr>
            </w:pPr>
            <w:r w:rsidRPr="000E410C">
              <w:rPr>
                <w:rFonts w:asciiTheme="majorHAnsi" w:hAnsiTheme="majorHAnsi" w:cs="Cambria"/>
                <w:i/>
                <w:sz w:val="21"/>
                <w:szCs w:val="21"/>
              </w:rPr>
              <w:t>6176 – Sage-femme Post-partum</w:t>
            </w:r>
          </w:p>
        </w:tc>
        <w:tc>
          <w:tcPr>
            <w:tcW w:w="1850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15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15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2060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5C7EF2">
              <w:rPr>
                <w:rFonts w:asciiTheme="majorHAnsi" w:hAnsiTheme="majorHAnsi" w:cs="Cambria"/>
                <w:sz w:val="21"/>
                <w:szCs w:val="21"/>
                <w:u w:val="single"/>
              </w:rPr>
              <w:t xml:space="preserve">Ajout de nouvelles fonctions : </w:t>
            </w:r>
          </w:p>
          <w:p w:rsidR="00664CA8" w:rsidRPr="005C7EF2" w:rsidRDefault="00664CA8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3B5C66" w:rsidRDefault="00AA0716" w:rsidP="00A7775E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3B5C66">
              <w:rPr>
                <w:rFonts w:asciiTheme="majorHAnsi" w:hAnsiTheme="majorHAnsi" w:cs="Cambria"/>
                <w:i/>
                <w:sz w:val="21"/>
                <w:szCs w:val="21"/>
              </w:rPr>
              <w:t xml:space="preserve">6187 - Infirmier </w:t>
            </w:r>
            <w:proofErr w:type="spellStart"/>
            <w:r>
              <w:rPr>
                <w:rFonts w:asciiTheme="majorHAnsi" w:hAnsiTheme="majorHAnsi" w:cs="Cambria"/>
                <w:i/>
                <w:sz w:val="21"/>
                <w:szCs w:val="21"/>
              </w:rPr>
              <w:t>mid</w:t>
            </w:r>
            <w:proofErr w:type="spellEnd"/>
            <w:r>
              <w:rPr>
                <w:rFonts w:asciiTheme="majorHAnsi" w:hAnsiTheme="majorHAnsi" w:cs="Cambria"/>
                <w:i/>
                <w:sz w:val="21"/>
                <w:szCs w:val="21"/>
              </w:rPr>
              <w:t>-care</w:t>
            </w:r>
          </w:p>
          <w:p w:rsidR="00AA0716" w:rsidRPr="003B5C66" w:rsidRDefault="00AA0716" w:rsidP="00A7775E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3B5C66">
              <w:rPr>
                <w:rFonts w:asciiTheme="majorHAnsi" w:hAnsiTheme="majorHAnsi" w:cs="Cambria"/>
                <w:i/>
                <w:sz w:val="21"/>
                <w:szCs w:val="21"/>
              </w:rPr>
              <w:t>6188 – Infirmier en salle de réveil</w:t>
            </w:r>
          </w:p>
          <w:p w:rsidR="00AA0716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1"/>
                <w:szCs w:val="21"/>
              </w:rPr>
            </w:pPr>
          </w:p>
          <w:p w:rsidR="00664CA8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50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-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AA0716" w:rsidRPr="00E00094" w:rsidRDefault="00AA0716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15</w:t>
            </w:r>
          </w:p>
          <w:p w:rsidR="00664CA8" w:rsidRPr="00E00094" w:rsidRDefault="00664CA8" w:rsidP="00664C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2060" w:type="dxa"/>
            <w:vMerge w:val="restart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 xml:space="preserve">Psychiatrie 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DF7B56">
              <w:rPr>
                <w:rFonts w:asciiTheme="majorHAnsi" w:hAnsiTheme="majorHAnsi" w:cs="Cambria"/>
                <w:sz w:val="21"/>
                <w:szCs w:val="21"/>
                <w:u w:val="single"/>
              </w:rPr>
              <w:t>Ajout d’une nouvelle fonction :</w:t>
            </w:r>
          </w:p>
          <w:p w:rsidR="00E00094" w:rsidRPr="00DF7B56" w:rsidRDefault="00E00094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3B5C66" w:rsidRDefault="00AA0716" w:rsidP="00A7775E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3B5C66">
              <w:rPr>
                <w:rFonts w:asciiTheme="majorHAnsi" w:hAnsiTheme="majorHAnsi" w:cs="Cambria"/>
                <w:i/>
                <w:sz w:val="21"/>
                <w:szCs w:val="21"/>
              </w:rPr>
              <w:t xml:space="preserve">6274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–</w:t>
            </w:r>
            <w:r w:rsidRPr="003B5C66">
              <w:rPr>
                <w:rFonts w:asciiTheme="majorHAnsi" w:hAnsiTheme="majorHAnsi" w:cs="Cambria"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Infirmier/Educateur/</w:t>
            </w:r>
            <w:r w:rsidRPr="003B5C66">
              <w:rPr>
                <w:rFonts w:asciiTheme="majorHAnsi" w:hAnsiTheme="majorHAnsi" w:cs="Cambria"/>
                <w:i/>
                <w:sz w:val="21"/>
                <w:szCs w:val="21"/>
              </w:rPr>
              <w:t>Collaborateur équipe mobile en soins psychiatriques</w:t>
            </w:r>
          </w:p>
        </w:tc>
        <w:tc>
          <w:tcPr>
            <w:tcW w:w="1850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14</w:t>
            </w:r>
          </w:p>
        </w:tc>
      </w:tr>
      <w:tr w:rsidR="00AA0716" w:rsidTr="00664CA8">
        <w:tc>
          <w:tcPr>
            <w:tcW w:w="2409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2060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 titre de la fonction et contenu fonction :</w:t>
            </w:r>
          </w:p>
          <w:p w:rsidR="00E00094" w:rsidRDefault="00E00094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040DBD" w:rsidRDefault="00AA0716" w:rsidP="00E84666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</w:rPr>
            </w:pP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>6272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 xml:space="preserve"> - </w:t>
            </w: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 xml:space="preserve"> Aide-soignant unité/ centre psychiatrique</w:t>
            </w:r>
          </w:p>
        </w:tc>
        <w:tc>
          <w:tcPr>
            <w:tcW w:w="1850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AA0716" w:rsidRPr="00E00094" w:rsidRDefault="00E00094" w:rsidP="003076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</w:tc>
      </w:tr>
      <w:tr w:rsidR="00AA0716" w:rsidTr="00664CA8">
        <w:tc>
          <w:tcPr>
            <w:tcW w:w="2409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Soins résidentiels personnes âgées/Soins à domicile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 du contenu de la fonction :</w:t>
            </w:r>
          </w:p>
          <w:p w:rsidR="00E00094" w:rsidRDefault="00E00094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Pr="00040DBD" w:rsidRDefault="00AA0716" w:rsidP="00A7775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 xml:space="preserve">6372 - </w:t>
            </w: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 xml:space="preserve">Aide-soignant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soins résidentiels personnes âgées</w:t>
            </w:r>
          </w:p>
          <w:p w:rsidR="00AA0716" w:rsidRPr="00DF7B56" w:rsidRDefault="00AA0716" w:rsidP="00A7775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</w:rPr>
              <w:t>6472 – Aide-soignant à domicile</w:t>
            </w:r>
          </w:p>
        </w:tc>
        <w:tc>
          <w:tcPr>
            <w:tcW w:w="1850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11</w:t>
            </w: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</w:tc>
      </w:tr>
      <w:tr w:rsidR="00AA0716" w:rsidTr="00664CA8">
        <w:tc>
          <w:tcPr>
            <w:tcW w:w="2409" w:type="dxa"/>
            <w:vMerge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2060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</w:rPr>
            </w:pPr>
            <w:r>
              <w:rPr>
                <w:rFonts w:asciiTheme="majorHAnsi" w:hAnsiTheme="majorHAnsi" w:cs="Cambria"/>
                <w:sz w:val="21"/>
                <w:szCs w:val="21"/>
              </w:rPr>
              <w:t>Revalidation/maisons médicales/Centre de transfusion sanguine</w:t>
            </w:r>
          </w:p>
        </w:tc>
        <w:tc>
          <w:tcPr>
            <w:tcW w:w="6297" w:type="dxa"/>
          </w:tcPr>
          <w:p w:rsidR="00AA0716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</w:rPr>
              <w:t>Adaptation du contenu de la fonction :</w:t>
            </w:r>
          </w:p>
          <w:p w:rsidR="00E00094" w:rsidRDefault="00E00094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</w:p>
          <w:p w:rsidR="00AA0716" w:rsidRDefault="00AA0716" w:rsidP="00A7775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</w:rPr>
            </w:pP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>6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6</w:t>
            </w: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>72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 xml:space="preserve">- </w:t>
            </w:r>
            <w:r w:rsidRPr="00040DBD">
              <w:rPr>
                <w:rFonts w:asciiTheme="majorHAnsi" w:hAnsiTheme="majorHAnsi" w:cs="Cambria"/>
                <w:i/>
                <w:sz w:val="21"/>
                <w:szCs w:val="21"/>
              </w:rPr>
              <w:t xml:space="preserve">Aide-soignant </w:t>
            </w:r>
            <w:r>
              <w:rPr>
                <w:rFonts w:asciiTheme="majorHAnsi" w:hAnsiTheme="majorHAnsi" w:cs="Cambria"/>
                <w:i/>
                <w:sz w:val="21"/>
                <w:szCs w:val="21"/>
              </w:rPr>
              <w:t>maison médicale</w:t>
            </w:r>
          </w:p>
        </w:tc>
        <w:tc>
          <w:tcPr>
            <w:tcW w:w="1850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AA0716" w:rsidRPr="00E00094" w:rsidRDefault="00AA0716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</w:p>
          <w:p w:rsidR="00E00094" w:rsidRPr="00E0009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</w:rPr>
            </w:pPr>
            <w:r w:rsidRPr="00E00094">
              <w:rPr>
                <w:rFonts w:asciiTheme="majorHAnsi" w:hAnsiTheme="majorHAnsi" w:cs="Cambria"/>
                <w:b/>
                <w:sz w:val="21"/>
                <w:szCs w:val="21"/>
              </w:rPr>
              <w:t>12</w:t>
            </w:r>
          </w:p>
        </w:tc>
      </w:tr>
    </w:tbl>
    <w:p w:rsidR="00440DD0" w:rsidRDefault="00440DD0" w:rsidP="00221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1"/>
          <w:szCs w:val="21"/>
        </w:rPr>
      </w:pPr>
    </w:p>
    <w:p w:rsidR="00AA0716" w:rsidRPr="007C76E8" w:rsidRDefault="00AA0716" w:rsidP="00221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1"/>
          <w:szCs w:val="21"/>
        </w:rPr>
      </w:pPr>
      <w:r w:rsidRPr="00AA0716">
        <w:rPr>
          <w:rFonts w:asciiTheme="majorHAnsi" w:hAnsiTheme="majorHAnsi" w:cs="Times"/>
          <w:sz w:val="21"/>
          <w:szCs w:val="21"/>
          <w:u w:val="single"/>
        </w:rPr>
        <w:t>Remarque :</w:t>
      </w:r>
      <w:r>
        <w:rPr>
          <w:rFonts w:asciiTheme="majorHAnsi" w:hAnsiTheme="majorHAnsi" w:cs="Times"/>
          <w:sz w:val="21"/>
          <w:szCs w:val="21"/>
        </w:rPr>
        <w:t xml:space="preserve"> aucune fonction sectorielle n’a été supprimée lors de l’entretien périodique 2021. </w:t>
      </w:r>
    </w:p>
    <w:sectPr w:rsidR="00AA0716" w:rsidRPr="007C76E8" w:rsidSect="00664CA8">
      <w:pgSz w:w="15840" w:h="12240" w:orient="landscape"/>
      <w:pgMar w:top="567" w:right="1134" w:bottom="284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4A" w:rsidRDefault="0032234A" w:rsidP="00E53602">
      <w:r>
        <w:separator/>
      </w:r>
    </w:p>
  </w:endnote>
  <w:endnote w:type="continuationSeparator" w:id="0">
    <w:p w:rsidR="0032234A" w:rsidRDefault="0032234A" w:rsidP="00E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69455"/>
      <w:docPartObj>
        <w:docPartGallery w:val="Page Numbers (Bottom of Page)"/>
        <w:docPartUnique/>
      </w:docPartObj>
    </w:sdtPr>
    <w:sdtEndPr/>
    <w:sdtContent>
      <w:p w:rsidR="002327B6" w:rsidRDefault="002327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DD">
          <w:rPr>
            <w:noProof/>
          </w:rPr>
          <w:t>4</w:t>
        </w:r>
        <w:r>
          <w:fldChar w:fldCharType="end"/>
        </w:r>
      </w:p>
    </w:sdtContent>
  </w:sdt>
  <w:p w:rsidR="002327B6" w:rsidRDefault="00232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4A" w:rsidRDefault="0032234A" w:rsidP="00E53602">
      <w:r>
        <w:separator/>
      </w:r>
    </w:p>
  </w:footnote>
  <w:footnote w:type="continuationSeparator" w:id="0">
    <w:p w:rsidR="0032234A" w:rsidRDefault="0032234A" w:rsidP="00E53602">
      <w:r>
        <w:continuationSeparator/>
      </w:r>
    </w:p>
  </w:footnote>
  <w:footnote w:id="1">
    <w:p w:rsidR="00A935C2" w:rsidRDefault="00A935C2" w:rsidP="00096096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</w:t>
      </w:r>
      <w:r w:rsidRPr="00096096">
        <w:rPr>
          <w:rFonts w:asciiTheme="majorHAnsi" w:hAnsiTheme="majorHAnsi" w:cstheme="majorHAnsi"/>
          <w:sz w:val="18"/>
          <w:szCs w:val="18"/>
        </w:rPr>
        <w:t>Convention collective de travail du 31 mars 2021 concernant les procédures et mesures de transition barémiques d’application dans le cadre de l’entretien périodique de la classification sectorielle de fonctions.</w:t>
      </w:r>
    </w:p>
  </w:footnote>
  <w:footnote w:id="2">
    <w:p w:rsidR="00624084" w:rsidRPr="00514C45" w:rsidRDefault="00624084" w:rsidP="00624084">
      <w:pPr>
        <w:pStyle w:val="Voetnoottekst"/>
        <w:rPr>
          <w:rFonts w:asciiTheme="majorHAnsi" w:hAnsiTheme="majorHAnsi" w:cstheme="majorHAnsi"/>
          <w:lang w:val="fr-BE"/>
        </w:rPr>
      </w:pPr>
      <w:r w:rsidRPr="00514C45">
        <w:rPr>
          <w:rStyle w:val="Voetnootmarkering"/>
          <w:rFonts w:asciiTheme="majorHAnsi" w:hAnsiTheme="majorHAnsi" w:cstheme="majorHAnsi"/>
        </w:rPr>
        <w:footnoteRef/>
      </w:r>
      <w:r w:rsidRPr="00514C45">
        <w:rPr>
          <w:rFonts w:asciiTheme="majorHAnsi" w:hAnsiTheme="majorHAnsi" w:cstheme="majorHAnsi"/>
          <w:lang w:val="fr-BE"/>
        </w:rPr>
        <w:t xml:space="preserve"> </w:t>
      </w:r>
      <w:r w:rsidR="00BD558E" w:rsidRPr="00514C45">
        <w:rPr>
          <w:rFonts w:asciiTheme="majorHAnsi" w:hAnsiTheme="majorHAnsi" w:cstheme="majorHAnsi"/>
          <w:lang w:val="fr-BE"/>
        </w:rPr>
        <w:t>Cette adaptation ne concerne que le titre de la fonction dans la version NL de l’éventail de fonction</w:t>
      </w:r>
      <w:r w:rsidRPr="00514C45">
        <w:rPr>
          <w:rFonts w:asciiTheme="majorHAnsi" w:hAnsiTheme="majorHAnsi" w:cstheme="majorHAnsi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02" w:rsidRDefault="00E53602" w:rsidP="007C76E8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11" w:rsidRDefault="00221911" w:rsidP="00440DD0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E01B7"/>
    <w:multiLevelType w:val="hybridMultilevel"/>
    <w:tmpl w:val="F5E626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07D49"/>
    <w:multiLevelType w:val="hybridMultilevel"/>
    <w:tmpl w:val="4588C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C68"/>
    <w:multiLevelType w:val="hybridMultilevel"/>
    <w:tmpl w:val="B70AB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79546C"/>
    <w:multiLevelType w:val="hybridMultilevel"/>
    <w:tmpl w:val="001C89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806FC"/>
    <w:multiLevelType w:val="hybridMultilevel"/>
    <w:tmpl w:val="4F4ED6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14B7"/>
    <w:multiLevelType w:val="hybridMultilevel"/>
    <w:tmpl w:val="F9B072DE"/>
    <w:lvl w:ilvl="0" w:tplc="A87ACE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7461"/>
    <w:multiLevelType w:val="hybridMultilevel"/>
    <w:tmpl w:val="EFB806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0E2A4D"/>
    <w:multiLevelType w:val="hybridMultilevel"/>
    <w:tmpl w:val="5C06CAB0"/>
    <w:lvl w:ilvl="0" w:tplc="1BC6F32A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78D"/>
    <w:multiLevelType w:val="hybridMultilevel"/>
    <w:tmpl w:val="3AA2C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195415"/>
    <w:multiLevelType w:val="hybridMultilevel"/>
    <w:tmpl w:val="29642976"/>
    <w:lvl w:ilvl="0" w:tplc="A2CE5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17D0E"/>
    <w:multiLevelType w:val="hybridMultilevel"/>
    <w:tmpl w:val="B30C6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EE42FF"/>
    <w:multiLevelType w:val="hybridMultilevel"/>
    <w:tmpl w:val="F5987A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D85E92"/>
    <w:multiLevelType w:val="hybridMultilevel"/>
    <w:tmpl w:val="884C6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C814A0"/>
    <w:multiLevelType w:val="hybridMultilevel"/>
    <w:tmpl w:val="F446C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E53B70"/>
    <w:multiLevelType w:val="hybridMultilevel"/>
    <w:tmpl w:val="D67AA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03"/>
    <w:rsid w:val="00040DBD"/>
    <w:rsid w:val="000549E9"/>
    <w:rsid w:val="00096096"/>
    <w:rsid w:val="000C36DE"/>
    <w:rsid w:val="000C4DA3"/>
    <w:rsid w:val="000E410C"/>
    <w:rsid w:val="000E4EAD"/>
    <w:rsid w:val="0016074D"/>
    <w:rsid w:val="00167D0E"/>
    <w:rsid w:val="0018361D"/>
    <w:rsid w:val="001A092F"/>
    <w:rsid w:val="001A67EF"/>
    <w:rsid w:val="001B5144"/>
    <w:rsid w:val="001D0440"/>
    <w:rsid w:val="001D2D31"/>
    <w:rsid w:val="00221911"/>
    <w:rsid w:val="0022511D"/>
    <w:rsid w:val="002327B6"/>
    <w:rsid w:val="00257A1F"/>
    <w:rsid w:val="002E2303"/>
    <w:rsid w:val="003076D5"/>
    <w:rsid w:val="0032234A"/>
    <w:rsid w:val="003261E4"/>
    <w:rsid w:val="00333534"/>
    <w:rsid w:val="00390FA2"/>
    <w:rsid w:val="003A682D"/>
    <w:rsid w:val="003B5C66"/>
    <w:rsid w:val="003C47EB"/>
    <w:rsid w:val="004236A4"/>
    <w:rsid w:val="00432AD7"/>
    <w:rsid w:val="00436E9A"/>
    <w:rsid w:val="00440DD0"/>
    <w:rsid w:val="004F6066"/>
    <w:rsid w:val="00514C45"/>
    <w:rsid w:val="00523001"/>
    <w:rsid w:val="00540630"/>
    <w:rsid w:val="005B1775"/>
    <w:rsid w:val="005C7EF2"/>
    <w:rsid w:val="005E4A85"/>
    <w:rsid w:val="00601778"/>
    <w:rsid w:val="00624084"/>
    <w:rsid w:val="0065037E"/>
    <w:rsid w:val="00657542"/>
    <w:rsid w:val="00664CA8"/>
    <w:rsid w:val="006A44A0"/>
    <w:rsid w:val="006B3DF7"/>
    <w:rsid w:val="006C5E13"/>
    <w:rsid w:val="006E0A02"/>
    <w:rsid w:val="0070497D"/>
    <w:rsid w:val="0071721A"/>
    <w:rsid w:val="007910A2"/>
    <w:rsid w:val="00796335"/>
    <w:rsid w:val="007A3DFB"/>
    <w:rsid w:val="007A6981"/>
    <w:rsid w:val="007C76E8"/>
    <w:rsid w:val="0081177E"/>
    <w:rsid w:val="00892D00"/>
    <w:rsid w:val="008955F9"/>
    <w:rsid w:val="008A0362"/>
    <w:rsid w:val="008B7FF6"/>
    <w:rsid w:val="008E0CC1"/>
    <w:rsid w:val="00922C78"/>
    <w:rsid w:val="00946B14"/>
    <w:rsid w:val="009524D6"/>
    <w:rsid w:val="00967364"/>
    <w:rsid w:val="009774D9"/>
    <w:rsid w:val="00A508CC"/>
    <w:rsid w:val="00A54A79"/>
    <w:rsid w:val="00A935C2"/>
    <w:rsid w:val="00A97E13"/>
    <w:rsid w:val="00AA0716"/>
    <w:rsid w:val="00AF4C08"/>
    <w:rsid w:val="00B71386"/>
    <w:rsid w:val="00BD558E"/>
    <w:rsid w:val="00BE140E"/>
    <w:rsid w:val="00BF72F4"/>
    <w:rsid w:val="00C05056"/>
    <w:rsid w:val="00C86336"/>
    <w:rsid w:val="00CC2E67"/>
    <w:rsid w:val="00CD2313"/>
    <w:rsid w:val="00CE76E5"/>
    <w:rsid w:val="00D21767"/>
    <w:rsid w:val="00D412C3"/>
    <w:rsid w:val="00D72D2D"/>
    <w:rsid w:val="00DE5A54"/>
    <w:rsid w:val="00DF7B56"/>
    <w:rsid w:val="00E00094"/>
    <w:rsid w:val="00E53602"/>
    <w:rsid w:val="00E600A8"/>
    <w:rsid w:val="00E84666"/>
    <w:rsid w:val="00EB4184"/>
    <w:rsid w:val="00F0565C"/>
    <w:rsid w:val="00F31A5E"/>
    <w:rsid w:val="00F36BDD"/>
    <w:rsid w:val="00F824E6"/>
    <w:rsid w:val="00FD3B82"/>
    <w:rsid w:val="00FD6129"/>
    <w:rsid w:val="00FD73D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BC55E98-47CF-4EB9-BFDB-C700A58F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3D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4A7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A7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36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602"/>
  </w:style>
  <w:style w:type="paragraph" w:styleId="Voettekst">
    <w:name w:val="footer"/>
    <w:basedOn w:val="Standaard"/>
    <w:link w:val="VoettekstChar"/>
    <w:uiPriority w:val="99"/>
    <w:unhideWhenUsed/>
    <w:rsid w:val="00E536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02"/>
  </w:style>
  <w:style w:type="table" w:styleId="Tabelraster">
    <w:name w:val="Table Grid"/>
    <w:basedOn w:val="Standaardtabel"/>
    <w:uiPriority w:val="39"/>
    <w:rsid w:val="005E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7E1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D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D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D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3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3DFB"/>
    <w:rPr>
      <w:b/>
      <w:bCs/>
      <w:sz w:val="20"/>
      <w:szCs w:val="20"/>
    </w:rPr>
  </w:style>
  <w:style w:type="paragraph" w:customStyle="1" w:styleId="Default">
    <w:name w:val="Default"/>
    <w:rsid w:val="001A67EF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35C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35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3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-ic.org/fr/secteurs-concernes/soins-de-sante-prives-federaux-cp-330/eventail-de-fonc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50FF-4E54-4645-BF0C-985EA46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sable</dc:creator>
  <cp:keywords/>
  <dc:description/>
  <cp:lastModifiedBy>Marlies De Pape</cp:lastModifiedBy>
  <cp:revision>5</cp:revision>
  <dcterms:created xsi:type="dcterms:W3CDTF">2021-05-18T06:32:00Z</dcterms:created>
  <dcterms:modified xsi:type="dcterms:W3CDTF">2021-05-18T10:25:00Z</dcterms:modified>
</cp:coreProperties>
</file>